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F5" w:rsidRPr="001A2EF5" w:rsidRDefault="001A2EF5" w:rsidP="001A2EF5">
      <w:pPr>
        <w:rPr>
          <w:rFonts w:asciiTheme="majorBidi" w:hAnsiTheme="majorBidi" w:cstheme="majorBidi"/>
          <w:b/>
          <w:bCs/>
          <w:color w:val="FF0000"/>
          <w:sz w:val="32"/>
          <w:szCs w:val="32"/>
        </w:rPr>
      </w:pPr>
      <w:r w:rsidRPr="001A2EF5">
        <w:rPr>
          <w:rFonts w:asciiTheme="majorBidi" w:hAnsiTheme="majorBidi" w:cstheme="majorBidi"/>
          <w:b/>
          <w:bCs/>
          <w:color w:val="FF0000"/>
          <w:sz w:val="32"/>
          <w:szCs w:val="32"/>
        </w:rPr>
        <w:t>Isolation of bacteria</w:t>
      </w:r>
    </w:p>
    <w:p w:rsidR="00354F29" w:rsidRDefault="001A2EF5" w:rsidP="00354F29">
      <w:pPr>
        <w:spacing w:before="100" w:beforeAutospacing="1" w:after="300" w:line="360" w:lineRule="auto"/>
        <w:rPr>
          <w:rFonts w:asciiTheme="majorBidi" w:eastAsia="Times New Roman" w:hAnsiTheme="majorBidi" w:cstheme="majorBidi"/>
          <w:color w:val="292B31"/>
          <w:sz w:val="32"/>
          <w:szCs w:val="32"/>
        </w:rPr>
      </w:pPr>
      <w:r w:rsidRPr="001A2EF5">
        <w:rPr>
          <w:rFonts w:asciiTheme="majorBidi" w:eastAsia="Times New Roman" w:hAnsiTheme="majorBidi" w:cstheme="majorBidi"/>
          <w:color w:val="292B31"/>
          <w:sz w:val="32"/>
          <w:szCs w:val="32"/>
        </w:rPr>
        <w:t xml:space="preserve">Bacteria are the simplest of microorganisms, known as prokaryotes. Within this prokaryotic group, there are the filamentous microbes known as </w:t>
      </w:r>
      <w:proofErr w:type="spellStart"/>
      <w:r w:rsidRPr="001A2EF5">
        <w:rPr>
          <w:rFonts w:asciiTheme="majorBidi" w:eastAsia="Times New Roman" w:hAnsiTheme="majorBidi" w:cstheme="majorBidi"/>
          <w:color w:val="292B31"/>
          <w:sz w:val="32"/>
          <w:szCs w:val="32"/>
          <w:highlight w:val="yellow"/>
        </w:rPr>
        <w:t>actinomycetes</w:t>
      </w:r>
      <w:proofErr w:type="spellEnd"/>
      <w:r w:rsidRPr="001A2EF5">
        <w:rPr>
          <w:rFonts w:asciiTheme="majorBidi" w:eastAsia="Times New Roman" w:hAnsiTheme="majorBidi" w:cstheme="majorBidi"/>
          <w:color w:val="292B31"/>
          <w:sz w:val="32"/>
          <w:szCs w:val="32"/>
        </w:rPr>
        <w:t xml:space="preserve">. </w:t>
      </w:r>
      <w:proofErr w:type="spellStart"/>
      <w:r w:rsidRPr="001A2EF5">
        <w:rPr>
          <w:rFonts w:asciiTheme="majorBidi" w:eastAsia="Times New Roman" w:hAnsiTheme="majorBidi" w:cstheme="majorBidi"/>
          <w:color w:val="292B31"/>
          <w:sz w:val="32"/>
          <w:szCs w:val="32"/>
        </w:rPr>
        <w:t>Actinomycetes</w:t>
      </w:r>
      <w:proofErr w:type="spellEnd"/>
      <w:r w:rsidRPr="001A2EF5">
        <w:rPr>
          <w:rFonts w:asciiTheme="majorBidi" w:eastAsia="Times New Roman" w:hAnsiTheme="majorBidi" w:cstheme="majorBidi"/>
          <w:color w:val="292B31"/>
          <w:sz w:val="32"/>
          <w:szCs w:val="32"/>
        </w:rPr>
        <w:t xml:space="preserve"> are actually bacteria, but they are frequently considered to be a unique group within the classification of bacteria because of their filamentous structure, which consists of multiple cells strung together to form hyphae. This experiment uses </w:t>
      </w:r>
      <w:r w:rsidRPr="001A2EF5">
        <w:rPr>
          <w:rFonts w:asciiTheme="majorBidi" w:eastAsia="Times New Roman" w:hAnsiTheme="majorBidi" w:cstheme="majorBidi"/>
          <w:b/>
          <w:bCs/>
          <w:color w:val="292B31"/>
          <w:sz w:val="32"/>
          <w:szCs w:val="32"/>
          <w:highlight w:val="yellow"/>
          <w:u w:val="single"/>
        </w:rPr>
        <w:t>glycerol case media</w:t>
      </w:r>
      <w:r w:rsidRPr="001A2EF5">
        <w:rPr>
          <w:rFonts w:asciiTheme="majorBidi" w:eastAsia="Times New Roman" w:hAnsiTheme="majorBidi" w:cstheme="majorBidi"/>
          <w:color w:val="292B31"/>
          <w:sz w:val="32"/>
          <w:szCs w:val="32"/>
        </w:rPr>
        <w:t xml:space="preserve"> that select for </w:t>
      </w:r>
      <w:proofErr w:type="spellStart"/>
      <w:r w:rsidRPr="001A2EF5">
        <w:rPr>
          <w:rFonts w:asciiTheme="majorBidi" w:eastAsia="Times New Roman" w:hAnsiTheme="majorBidi" w:cstheme="majorBidi"/>
          <w:color w:val="292B31"/>
          <w:sz w:val="32"/>
          <w:szCs w:val="32"/>
        </w:rPr>
        <w:t>actinomycete</w:t>
      </w:r>
      <w:proofErr w:type="spellEnd"/>
      <w:r w:rsidRPr="001A2EF5">
        <w:rPr>
          <w:rFonts w:asciiTheme="majorBidi" w:eastAsia="Times New Roman" w:hAnsiTheme="majorBidi" w:cstheme="majorBidi"/>
          <w:color w:val="292B31"/>
          <w:sz w:val="32"/>
          <w:szCs w:val="32"/>
        </w:rPr>
        <w:t xml:space="preserve"> colonies, during dilution and plating. Typically, </w:t>
      </w:r>
      <w:proofErr w:type="spellStart"/>
      <w:r w:rsidRPr="001A2EF5">
        <w:rPr>
          <w:rFonts w:asciiTheme="majorBidi" w:eastAsia="Times New Roman" w:hAnsiTheme="majorBidi" w:cstheme="majorBidi"/>
          <w:color w:val="292B31"/>
          <w:sz w:val="32"/>
          <w:szCs w:val="32"/>
        </w:rPr>
        <w:t>actinomycetes</w:t>
      </w:r>
      <w:proofErr w:type="spellEnd"/>
      <w:r w:rsidRPr="001A2EF5">
        <w:rPr>
          <w:rFonts w:asciiTheme="majorBidi" w:eastAsia="Times New Roman" w:hAnsiTheme="majorBidi" w:cstheme="majorBidi"/>
          <w:color w:val="292B31"/>
          <w:sz w:val="32"/>
          <w:szCs w:val="32"/>
        </w:rPr>
        <w:t xml:space="preserve"> are </w:t>
      </w:r>
      <w:r w:rsidRPr="001A2EF5">
        <w:rPr>
          <w:rFonts w:asciiTheme="majorBidi" w:eastAsia="Times New Roman" w:hAnsiTheme="majorBidi" w:cstheme="majorBidi"/>
          <w:color w:val="292B31"/>
          <w:sz w:val="32"/>
          <w:szCs w:val="32"/>
          <w:highlight w:val="yellow"/>
        </w:rPr>
        <w:t>approximately 10% of</w:t>
      </w:r>
      <w:r w:rsidRPr="001A2EF5">
        <w:rPr>
          <w:rFonts w:asciiTheme="majorBidi" w:eastAsia="Times New Roman" w:hAnsiTheme="majorBidi" w:cstheme="majorBidi"/>
          <w:color w:val="292B31"/>
          <w:sz w:val="32"/>
          <w:szCs w:val="32"/>
        </w:rPr>
        <w:t xml:space="preserve"> the total bacterial population. Bacteria and </w:t>
      </w:r>
      <w:proofErr w:type="spellStart"/>
      <w:r w:rsidRPr="001A2EF5">
        <w:rPr>
          <w:rFonts w:asciiTheme="majorBidi" w:eastAsia="Times New Roman" w:hAnsiTheme="majorBidi" w:cstheme="majorBidi"/>
          <w:color w:val="292B31"/>
          <w:sz w:val="32"/>
          <w:szCs w:val="32"/>
        </w:rPr>
        <w:t>actinomycetes</w:t>
      </w:r>
      <w:proofErr w:type="spellEnd"/>
      <w:r w:rsidRPr="001A2EF5">
        <w:rPr>
          <w:rFonts w:asciiTheme="majorBidi" w:eastAsia="Times New Roman" w:hAnsiTheme="majorBidi" w:cstheme="majorBidi"/>
          <w:color w:val="292B31"/>
          <w:sz w:val="32"/>
          <w:szCs w:val="32"/>
        </w:rPr>
        <w:t xml:space="preserve"> are found in every environment on Earth. These microbes are also essential for human life and </w:t>
      </w:r>
      <w:r w:rsidRPr="001A2EF5">
        <w:rPr>
          <w:rFonts w:asciiTheme="majorBidi" w:eastAsia="Times New Roman" w:hAnsiTheme="majorBidi" w:cstheme="majorBidi"/>
          <w:color w:val="FF0000"/>
          <w:sz w:val="32"/>
          <w:szCs w:val="32"/>
        </w:rPr>
        <w:t xml:space="preserve">affect what people eat, drink, breathe, or touch. </w:t>
      </w:r>
      <w:r w:rsidRPr="001A2EF5">
        <w:rPr>
          <w:rFonts w:asciiTheme="majorBidi" w:eastAsia="Times New Roman" w:hAnsiTheme="majorBidi" w:cstheme="majorBidi"/>
          <w:color w:val="292B31"/>
          <w:sz w:val="32"/>
          <w:szCs w:val="32"/>
        </w:rPr>
        <w:t xml:space="preserve">In addition, there are bacterial species that can infect people and cause disease, and there are bacteria that can produce natural products capable of healing people. </w:t>
      </w:r>
    </w:p>
    <w:p w:rsidR="001A2EF5" w:rsidRPr="001A2EF5" w:rsidRDefault="001A2EF5" w:rsidP="00354F29">
      <w:pPr>
        <w:spacing w:before="100" w:beforeAutospacing="1" w:after="300" w:line="360" w:lineRule="auto"/>
        <w:rPr>
          <w:rFonts w:asciiTheme="majorBidi" w:eastAsia="Times New Roman" w:hAnsiTheme="majorBidi" w:cstheme="majorBidi"/>
          <w:color w:val="292B31"/>
          <w:sz w:val="32"/>
          <w:szCs w:val="32"/>
        </w:rPr>
      </w:pPr>
      <w:r w:rsidRPr="001A2EF5">
        <w:rPr>
          <w:rFonts w:asciiTheme="majorBidi" w:eastAsia="Times New Roman" w:hAnsiTheme="majorBidi" w:cstheme="majorBidi"/>
          <w:color w:val="292B31"/>
          <w:sz w:val="32"/>
          <w:szCs w:val="32"/>
          <w:highlight w:val="yellow"/>
        </w:rPr>
        <w:t>Bacteria are critical for nutrient cycling, plant growth, and degradation of organic contaminants.</w:t>
      </w:r>
    </w:p>
    <w:p w:rsidR="001A2EF5" w:rsidRPr="001A2EF5" w:rsidRDefault="001A2EF5" w:rsidP="001A2EF5">
      <w:pPr>
        <w:spacing w:before="100" w:beforeAutospacing="1" w:after="300" w:line="360" w:lineRule="auto"/>
        <w:rPr>
          <w:rFonts w:asciiTheme="majorBidi" w:eastAsia="Times New Roman" w:hAnsiTheme="majorBidi" w:cstheme="majorBidi"/>
          <w:color w:val="292B31"/>
          <w:sz w:val="32"/>
          <w:szCs w:val="32"/>
        </w:rPr>
      </w:pPr>
      <w:r w:rsidRPr="001A2EF5">
        <w:rPr>
          <w:rFonts w:asciiTheme="majorBidi" w:eastAsia="Times New Roman" w:hAnsiTheme="majorBidi" w:cstheme="majorBidi"/>
          <w:color w:val="292B31"/>
          <w:sz w:val="32"/>
          <w:szCs w:val="32"/>
        </w:rPr>
        <w:t xml:space="preserve">Bacteria are highly diverse in terms of the number of species that can be found in soil, in part because they are physiologically and metabolically diverse. Bacteria can be heterotrophic, meaning they </w:t>
      </w:r>
      <w:r w:rsidRPr="001A2EF5">
        <w:rPr>
          <w:rFonts w:asciiTheme="majorBidi" w:eastAsia="Times New Roman" w:hAnsiTheme="majorBidi" w:cstheme="majorBidi"/>
          <w:color w:val="FF0000"/>
          <w:sz w:val="32"/>
          <w:szCs w:val="32"/>
        </w:rPr>
        <w:t>utilize organic compounds, such as glucose</w:t>
      </w:r>
      <w:r w:rsidRPr="001A2EF5">
        <w:rPr>
          <w:rFonts w:asciiTheme="majorBidi" w:eastAsia="Times New Roman" w:hAnsiTheme="majorBidi" w:cstheme="majorBidi"/>
          <w:color w:val="292B31"/>
          <w:sz w:val="32"/>
          <w:szCs w:val="32"/>
        </w:rPr>
        <w:t xml:space="preserve">, for food and energy, or autotrophic, meaning they utilize </w:t>
      </w:r>
      <w:r w:rsidRPr="001A2EF5">
        <w:rPr>
          <w:rFonts w:asciiTheme="majorBidi" w:eastAsia="Times New Roman" w:hAnsiTheme="majorBidi" w:cstheme="majorBidi"/>
          <w:color w:val="FF0000"/>
          <w:sz w:val="32"/>
          <w:szCs w:val="32"/>
        </w:rPr>
        <w:t>inorganic compounds, such as elemental sulfur</w:t>
      </w:r>
      <w:r w:rsidRPr="001A2EF5">
        <w:rPr>
          <w:rFonts w:asciiTheme="majorBidi" w:eastAsia="Times New Roman" w:hAnsiTheme="majorBidi" w:cstheme="majorBidi"/>
          <w:color w:val="292B31"/>
          <w:sz w:val="32"/>
          <w:szCs w:val="32"/>
        </w:rPr>
        <w:t xml:space="preserve">, for </w:t>
      </w:r>
      <w:r w:rsidRPr="001A2EF5">
        <w:rPr>
          <w:rFonts w:asciiTheme="majorBidi" w:eastAsia="Times New Roman" w:hAnsiTheme="majorBidi" w:cstheme="majorBidi"/>
          <w:color w:val="292B31"/>
          <w:sz w:val="32"/>
          <w:szCs w:val="32"/>
        </w:rPr>
        <w:lastRenderedPageBreak/>
        <w:t>food and energy. They can also be aerobic, utilizing oxygen for respiration, or anaerobic, utilizing combined forms of oxygen, such as nitrate or sulfate, to respire. Some bacteria can use oxygen or combined forms of oxygen and are known as facultative anaerobes.</w:t>
      </w:r>
    </w:p>
    <w:p w:rsidR="001A2EF5" w:rsidRPr="001A2EF5" w:rsidRDefault="001A2EF5" w:rsidP="001A2EF5">
      <w:pPr>
        <w:spacing w:before="100" w:beforeAutospacing="1" w:after="100" w:afterAutospacing="1" w:line="360" w:lineRule="auto"/>
        <w:outlineLvl w:val="2"/>
        <w:rPr>
          <w:rFonts w:asciiTheme="majorBidi" w:eastAsia="Times New Roman" w:hAnsiTheme="majorBidi" w:cstheme="majorBidi"/>
          <w:b/>
          <w:bCs/>
          <w:caps/>
          <w:color w:val="0B3871"/>
          <w:spacing w:val="6"/>
          <w:sz w:val="32"/>
          <w:szCs w:val="32"/>
        </w:rPr>
      </w:pPr>
      <w:r w:rsidRPr="001A2EF5">
        <w:rPr>
          <w:rFonts w:asciiTheme="majorBidi" w:eastAsia="Times New Roman" w:hAnsiTheme="majorBidi" w:cstheme="majorBidi"/>
          <w:b/>
          <w:bCs/>
          <w:caps/>
          <w:color w:val="0B3871"/>
          <w:spacing w:val="6"/>
          <w:sz w:val="32"/>
          <w:szCs w:val="32"/>
        </w:rPr>
        <w:t>PRINCIPLES</w:t>
      </w:r>
    </w:p>
    <w:p w:rsidR="00354F29" w:rsidRDefault="001A2EF5" w:rsidP="00354F29">
      <w:pPr>
        <w:spacing w:before="100" w:beforeAutospacing="1" w:after="300" w:line="360" w:lineRule="auto"/>
        <w:rPr>
          <w:rFonts w:asciiTheme="majorBidi" w:eastAsia="Times New Roman" w:hAnsiTheme="majorBidi" w:cstheme="majorBidi"/>
          <w:color w:val="292B31"/>
          <w:sz w:val="32"/>
          <w:szCs w:val="32"/>
        </w:rPr>
      </w:pPr>
      <w:proofErr w:type="gramStart"/>
      <w:r w:rsidRPr="001A2EF5">
        <w:rPr>
          <w:rFonts w:asciiTheme="majorBidi" w:eastAsia="Times New Roman" w:hAnsiTheme="majorBidi" w:cstheme="majorBidi"/>
          <w:color w:val="292B31"/>
          <w:sz w:val="32"/>
          <w:szCs w:val="32"/>
        </w:rPr>
        <w:t>a</w:t>
      </w:r>
      <w:proofErr w:type="gramEnd"/>
      <w:r w:rsidRPr="001A2EF5">
        <w:rPr>
          <w:rFonts w:asciiTheme="majorBidi" w:eastAsia="Times New Roman" w:hAnsiTheme="majorBidi" w:cstheme="majorBidi"/>
          <w:color w:val="292B31"/>
          <w:sz w:val="32"/>
          <w:szCs w:val="32"/>
        </w:rPr>
        <w:t xml:space="preserve"> small sample of soil is serially diluted in water, prior to being plated on agar within a Petri plate. Typically, a small amount of soil contained within </w:t>
      </w:r>
      <w:r w:rsidRPr="001A2EF5">
        <w:rPr>
          <w:rFonts w:asciiTheme="majorBidi" w:eastAsia="Times New Roman" w:hAnsiTheme="majorBidi" w:cstheme="majorBidi"/>
          <w:color w:val="292B31"/>
          <w:sz w:val="32"/>
          <w:szCs w:val="32"/>
          <w:highlight w:val="yellow"/>
        </w:rPr>
        <w:t>0.1</w:t>
      </w:r>
      <w:r w:rsidRPr="001A2EF5">
        <w:rPr>
          <w:rFonts w:asciiTheme="majorBidi" w:eastAsia="Times New Roman" w:hAnsiTheme="majorBidi" w:cstheme="majorBidi"/>
          <w:color w:val="292B31"/>
          <w:sz w:val="32"/>
          <w:szCs w:val="32"/>
        </w:rPr>
        <w:t xml:space="preserve"> to 1 mL of the diluted soil suspension is “spread” over the surface of the agar plate. The plates contain agar</w:t>
      </w:r>
    </w:p>
    <w:p w:rsidR="00F2331F" w:rsidRDefault="001A2EF5" w:rsidP="00F2331F">
      <w:pPr>
        <w:spacing w:before="100" w:beforeAutospacing="1" w:after="300" w:line="360" w:lineRule="auto"/>
        <w:rPr>
          <w:rFonts w:asciiTheme="majorBidi" w:eastAsia="Times New Roman" w:hAnsiTheme="majorBidi" w:cstheme="majorBidi"/>
          <w:color w:val="292B31"/>
          <w:sz w:val="32"/>
          <w:szCs w:val="32"/>
        </w:rPr>
      </w:pPr>
      <w:r w:rsidRPr="001A2EF5">
        <w:rPr>
          <w:rFonts w:asciiTheme="majorBidi" w:eastAsia="Times New Roman" w:hAnsiTheme="majorBidi" w:cstheme="majorBidi"/>
          <w:color w:val="292B31"/>
          <w:sz w:val="32"/>
          <w:szCs w:val="32"/>
        </w:rPr>
        <w:t>During serial dilution of the soil, soil particles can settle out (fall to the bottom), so the true aliquot of soil is not pa</w:t>
      </w:r>
      <w:r w:rsidR="00F2331F">
        <w:rPr>
          <w:rFonts w:asciiTheme="majorBidi" w:eastAsia="Times New Roman" w:hAnsiTheme="majorBidi" w:cstheme="majorBidi"/>
          <w:color w:val="292B31"/>
          <w:sz w:val="32"/>
          <w:szCs w:val="32"/>
        </w:rPr>
        <w:t>ssed on into the next dilution</w:t>
      </w:r>
    </w:p>
    <w:p w:rsidR="001A2EF5" w:rsidRPr="001A2EF5" w:rsidRDefault="001A2EF5" w:rsidP="00F2331F">
      <w:pPr>
        <w:spacing w:before="100" w:beforeAutospacing="1" w:after="300" w:line="360" w:lineRule="auto"/>
        <w:rPr>
          <w:rFonts w:asciiTheme="majorBidi" w:eastAsia="Times New Roman" w:hAnsiTheme="majorBidi" w:cstheme="majorBidi"/>
          <w:color w:val="292B31"/>
          <w:sz w:val="32"/>
          <w:szCs w:val="32"/>
        </w:rPr>
      </w:pPr>
      <w:r w:rsidRPr="001A2EF5">
        <w:rPr>
          <w:rFonts w:asciiTheme="majorBidi" w:eastAsia="Times New Roman" w:hAnsiTheme="majorBidi" w:cstheme="majorBidi"/>
          <w:color w:val="292B31"/>
          <w:sz w:val="32"/>
          <w:szCs w:val="32"/>
        </w:rPr>
        <w:t xml:space="preserve"> </w:t>
      </w:r>
      <w:proofErr w:type="gramStart"/>
      <w:r w:rsidRPr="001A2EF5">
        <w:rPr>
          <w:rFonts w:asciiTheme="majorBidi" w:eastAsia="Times New Roman" w:hAnsiTheme="majorBidi" w:cstheme="majorBidi"/>
          <w:color w:val="292B31"/>
          <w:sz w:val="32"/>
          <w:szCs w:val="32"/>
        </w:rPr>
        <w:t>dilution</w:t>
      </w:r>
      <w:proofErr w:type="gramEnd"/>
      <w:r w:rsidRPr="001A2EF5">
        <w:rPr>
          <w:rFonts w:asciiTheme="majorBidi" w:eastAsia="Times New Roman" w:hAnsiTheme="majorBidi" w:cstheme="majorBidi"/>
          <w:color w:val="292B31"/>
          <w:sz w:val="32"/>
          <w:szCs w:val="32"/>
        </w:rPr>
        <w:t xml:space="preserve"> and plating of soil bacteria only accounts for </w:t>
      </w:r>
      <w:proofErr w:type="spellStart"/>
      <w:r w:rsidRPr="001A2EF5">
        <w:rPr>
          <w:rFonts w:asciiTheme="majorBidi" w:eastAsia="Times New Roman" w:hAnsiTheme="majorBidi" w:cstheme="majorBidi"/>
          <w:color w:val="292B31"/>
          <w:sz w:val="32"/>
          <w:szCs w:val="32"/>
        </w:rPr>
        <w:t>culturable</w:t>
      </w:r>
      <w:proofErr w:type="spellEnd"/>
      <w:r w:rsidRPr="001A2EF5">
        <w:rPr>
          <w:rFonts w:asciiTheme="majorBidi" w:eastAsia="Times New Roman" w:hAnsiTheme="majorBidi" w:cstheme="majorBidi"/>
          <w:color w:val="292B31"/>
          <w:sz w:val="32"/>
          <w:szCs w:val="32"/>
        </w:rPr>
        <w:t xml:space="preserve"> bacteria and underestimates the true viable soil population by one to two orders of magnitude</w:t>
      </w:r>
      <w:r w:rsidR="00F2331F">
        <w:rPr>
          <w:rFonts w:asciiTheme="majorBidi" w:eastAsia="Times New Roman" w:hAnsiTheme="majorBidi" w:cstheme="majorBidi"/>
          <w:color w:val="292B31"/>
          <w:sz w:val="32"/>
          <w:szCs w:val="32"/>
        </w:rPr>
        <w:t>.</w:t>
      </w:r>
    </w:p>
    <w:p w:rsidR="001A2EF5" w:rsidRDefault="001A2EF5" w:rsidP="00F2331F">
      <w:pPr>
        <w:spacing w:before="100" w:beforeAutospacing="1" w:after="300" w:line="360" w:lineRule="auto"/>
        <w:rPr>
          <w:rFonts w:asciiTheme="majorBidi" w:eastAsia="Times New Roman" w:hAnsiTheme="majorBidi" w:cstheme="majorBidi"/>
          <w:color w:val="292B31"/>
          <w:sz w:val="32"/>
          <w:szCs w:val="32"/>
        </w:rPr>
      </w:pPr>
      <w:proofErr w:type="gramStart"/>
      <w:r w:rsidRPr="001A2EF5">
        <w:rPr>
          <w:rFonts w:asciiTheme="majorBidi" w:eastAsia="Times New Roman" w:hAnsiTheme="majorBidi" w:cstheme="majorBidi"/>
          <w:color w:val="292B31"/>
          <w:sz w:val="32"/>
          <w:szCs w:val="32"/>
        </w:rPr>
        <w:t>two</w:t>
      </w:r>
      <w:proofErr w:type="gramEnd"/>
      <w:r w:rsidRPr="001A2EF5">
        <w:rPr>
          <w:rFonts w:asciiTheme="majorBidi" w:eastAsia="Times New Roman" w:hAnsiTheme="majorBidi" w:cstheme="majorBidi"/>
          <w:color w:val="292B31"/>
          <w:sz w:val="32"/>
          <w:szCs w:val="32"/>
        </w:rPr>
        <w:t xml:space="preserve"> media are used: one designed for all bacteria, and the other that selects for </w:t>
      </w:r>
      <w:proofErr w:type="spellStart"/>
      <w:r w:rsidRPr="001A2EF5">
        <w:rPr>
          <w:rFonts w:asciiTheme="majorBidi" w:eastAsia="Times New Roman" w:hAnsiTheme="majorBidi" w:cstheme="majorBidi"/>
          <w:color w:val="292B31"/>
          <w:sz w:val="32"/>
          <w:szCs w:val="32"/>
        </w:rPr>
        <w:t>actinomycetes</w:t>
      </w:r>
      <w:proofErr w:type="spellEnd"/>
      <w:r w:rsidRPr="001A2EF5">
        <w:rPr>
          <w:rFonts w:asciiTheme="majorBidi" w:eastAsia="Times New Roman" w:hAnsiTheme="majorBidi" w:cstheme="majorBidi"/>
          <w:color w:val="292B31"/>
          <w:sz w:val="32"/>
          <w:szCs w:val="32"/>
        </w:rPr>
        <w:t>. Once the bacterial colonies have grown on the agar plates, isolate the pure cultures of selected colonies. Such pure cultures can then be further analyzed and characterized for specific traits and functions.</w:t>
      </w:r>
    </w:p>
    <w:p w:rsidR="00125997" w:rsidRDefault="00125997" w:rsidP="00F2331F">
      <w:pPr>
        <w:spacing w:before="100" w:beforeAutospacing="1" w:after="300" w:line="360" w:lineRule="auto"/>
        <w:rPr>
          <w:rFonts w:asciiTheme="majorBidi" w:eastAsia="Times New Roman" w:hAnsiTheme="majorBidi" w:cstheme="majorBidi"/>
          <w:color w:val="292B31"/>
          <w:sz w:val="32"/>
          <w:szCs w:val="32"/>
        </w:rPr>
      </w:pPr>
    </w:p>
    <w:p w:rsidR="00125997" w:rsidRDefault="00125997" w:rsidP="00125997">
      <w:pPr>
        <w:spacing w:before="100" w:beforeAutospacing="1" w:after="300" w:line="360" w:lineRule="auto"/>
        <w:jc w:val="center"/>
        <w:rPr>
          <w:rFonts w:asciiTheme="majorBidi" w:eastAsia="Times New Roman" w:hAnsiTheme="majorBidi" w:cstheme="majorBidi"/>
          <w:color w:val="292B31"/>
          <w:sz w:val="32"/>
          <w:szCs w:val="32"/>
        </w:rPr>
      </w:pPr>
      <w:bookmarkStart w:id="0" w:name="_GoBack"/>
      <w:r>
        <w:rPr>
          <w:rFonts w:asciiTheme="majorBidi" w:eastAsia="Times New Roman" w:hAnsiTheme="majorBidi" w:cstheme="majorBidi"/>
          <w:noProof/>
          <w:color w:val="292B31"/>
          <w:sz w:val="32"/>
          <w:szCs w:val="32"/>
        </w:rPr>
        <w:lastRenderedPageBreak/>
        <w:drawing>
          <wp:inline distT="0" distB="0" distL="0" distR="0">
            <wp:extent cx="2967228" cy="2802636"/>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99fig1.jpg"/>
                    <pic:cNvPicPr/>
                  </pic:nvPicPr>
                  <pic:blipFill>
                    <a:blip r:embed="rId8">
                      <a:extLst>
                        <a:ext uri="{28A0092B-C50C-407E-A947-70E740481C1C}">
                          <a14:useLocalDpi xmlns:a14="http://schemas.microsoft.com/office/drawing/2010/main" val="0"/>
                        </a:ext>
                      </a:extLst>
                    </a:blip>
                    <a:stretch>
                      <a:fillRect/>
                    </a:stretch>
                  </pic:blipFill>
                  <pic:spPr>
                    <a:xfrm>
                      <a:off x="0" y="0"/>
                      <a:ext cx="2967228" cy="2802636"/>
                    </a:xfrm>
                    <a:prstGeom prst="rect">
                      <a:avLst/>
                    </a:prstGeom>
                  </pic:spPr>
                </pic:pic>
              </a:graphicData>
            </a:graphic>
          </wp:inline>
        </w:drawing>
      </w:r>
      <w:bookmarkEnd w:id="0"/>
    </w:p>
    <w:p w:rsidR="00F2331F" w:rsidRDefault="00F2331F" w:rsidP="00F2331F">
      <w:pPr>
        <w:spacing w:before="100" w:beforeAutospacing="1" w:after="300" w:line="360" w:lineRule="auto"/>
        <w:rPr>
          <w:rFonts w:asciiTheme="majorBidi" w:eastAsia="Times New Roman" w:hAnsiTheme="majorBidi" w:cstheme="majorBidi"/>
          <w:color w:val="292B31"/>
          <w:sz w:val="32"/>
          <w:szCs w:val="32"/>
        </w:rPr>
      </w:pPr>
    </w:p>
    <w:p w:rsidR="00F2331F" w:rsidRPr="00F2331F" w:rsidRDefault="00F2331F" w:rsidP="00F2331F">
      <w:pPr>
        <w:shd w:val="clear" w:color="auto" w:fill="FFFFFF"/>
        <w:spacing w:before="100" w:beforeAutospacing="1" w:after="100" w:afterAutospacing="1" w:line="360" w:lineRule="auto"/>
        <w:outlineLvl w:val="2"/>
        <w:rPr>
          <w:rFonts w:asciiTheme="majorBidi" w:eastAsia="Times New Roman" w:hAnsiTheme="majorBidi" w:cstheme="majorBidi"/>
          <w:b/>
          <w:bCs/>
          <w:caps/>
          <w:color w:val="FF0000"/>
          <w:spacing w:val="6"/>
          <w:sz w:val="32"/>
          <w:szCs w:val="32"/>
        </w:rPr>
      </w:pPr>
      <w:r w:rsidRPr="00F2331F">
        <w:rPr>
          <w:rFonts w:asciiTheme="majorBidi" w:eastAsia="Times New Roman" w:hAnsiTheme="majorBidi" w:cstheme="majorBidi"/>
          <w:b/>
          <w:bCs/>
          <w:caps/>
          <w:color w:val="FF0000"/>
          <w:spacing w:val="6"/>
          <w:sz w:val="32"/>
          <w:szCs w:val="32"/>
        </w:rPr>
        <w:t>PROCEDURE</w:t>
      </w:r>
    </w:p>
    <w:p w:rsidR="00F2331F" w:rsidRPr="00F2331F" w:rsidRDefault="00F2331F" w:rsidP="00F2331F">
      <w:pPr>
        <w:shd w:val="clear" w:color="auto" w:fill="FFFFFF"/>
        <w:spacing w:before="100" w:beforeAutospacing="1" w:after="300" w:line="360" w:lineRule="auto"/>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highlight w:val="yellow"/>
        </w:rPr>
        <w:t>1. Preparation of Soil Dilutions</w:t>
      </w:r>
    </w:p>
    <w:p w:rsidR="00F2331F" w:rsidRPr="00F2331F" w:rsidRDefault="00F2331F" w:rsidP="00F2331F">
      <w:pPr>
        <w:numPr>
          <w:ilvl w:val="0"/>
          <w:numId w:val="2"/>
        </w:numPr>
        <w:shd w:val="clear" w:color="auto" w:fill="FFFFFF"/>
        <w:spacing w:before="100" w:beforeAutospacing="1" w:after="150" w:line="360" w:lineRule="auto"/>
        <w:ind w:left="0"/>
        <w:rPr>
          <w:rFonts w:asciiTheme="majorBidi" w:eastAsia="Times New Roman" w:hAnsiTheme="majorBidi" w:cstheme="majorBidi"/>
          <w:color w:val="292B31"/>
          <w:sz w:val="32"/>
          <w:szCs w:val="32"/>
          <w:highlight w:val="red"/>
        </w:rPr>
      </w:pPr>
      <w:r w:rsidRPr="00F2331F">
        <w:rPr>
          <w:rFonts w:asciiTheme="majorBidi" w:eastAsia="Times New Roman" w:hAnsiTheme="majorBidi" w:cstheme="majorBidi"/>
          <w:color w:val="292B31"/>
          <w:sz w:val="32"/>
          <w:szCs w:val="32"/>
        </w:rPr>
        <w:t xml:space="preserve">To begin the procedure, weigh out 10 g of soil sample and add to 95 mL of deionized water. Shake the suspension well, and label as </w:t>
      </w:r>
      <w:r w:rsidRPr="00F2331F">
        <w:rPr>
          <w:rFonts w:asciiTheme="majorBidi" w:eastAsia="Times New Roman" w:hAnsiTheme="majorBidi" w:cstheme="majorBidi"/>
          <w:color w:val="292B31"/>
          <w:sz w:val="32"/>
          <w:szCs w:val="32"/>
          <w:highlight w:val="red"/>
        </w:rPr>
        <w:t>“A”.</w:t>
      </w:r>
    </w:p>
    <w:p w:rsidR="00F2331F" w:rsidRPr="00F2331F" w:rsidRDefault="00F2331F" w:rsidP="00F2331F">
      <w:pPr>
        <w:numPr>
          <w:ilvl w:val="0"/>
          <w:numId w:val="2"/>
        </w:numPr>
        <w:shd w:val="clear" w:color="auto" w:fill="FFFFFF"/>
        <w:spacing w:before="100" w:beforeAutospacing="1" w:after="150" w:line="360" w:lineRule="auto"/>
        <w:ind w:left="0"/>
        <w:rPr>
          <w:rFonts w:asciiTheme="majorBidi" w:eastAsia="Times New Roman" w:hAnsiTheme="majorBidi" w:cstheme="majorBidi"/>
          <w:color w:val="292B31"/>
          <w:sz w:val="32"/>
          <w:szCs w:val="32"/>
          <w:highlight w:val="red"/>
        </w:rPr>
      </w:pPr>
      <w:r w:rsidRPr="00F2331F">
        <w:rPr>
          <w:rFonts w:asciiTheme="majorBidi" w:eastAsia="Times New Roman" w:hAnsiTheme="majorBidi" w:cstheme="majorBidi"/>
          <w:color w:val="292B31"/>
          <w:sz w:val="32"/>
          <w:szCs w:val="32"/>
        </w:rPr>
        <w:t xml:space="preserve">Before the soil settles, remove 1 mL of the suspension with a sterile pipette and transfer it to </w:t>
      </w:r>
      <w:proofErr w:type="gramStart"/>
      <w:r w:rsidRPr="00F2331F">
        <w:rPr>
          <w:rFonts w:asciiTheme="majorBidi" w:eastAsia="Times New Roman" w:hAnsiTheme="majorBidi" w:cstheme="majorBidi"/>
          <w:color w:val="292B31"/>
          <w:sz w:val="32"/>
          <w:szCs w:val="32"/>
        </w:rPr>
        <w:t>a 9</w:t>
      </w:r>
      <w:proofErr w:type="gramEnd"/>
      <w:r w:rsidRPr="00F2331F">
        <w:rPr>
          <w:rFonts w:asciiTheme="majorBidi" w:eastAsia="Times New Roman" w:hAnsiTheme="majorBidi" w:cstheme="majorBidi"/>
          <w:color w:val="292B31"/>
          <w:sz w:val="32"/>
          <w:szCs w:val="32"/>
        </w:rPr>
        <w:t xml:space="preserve">-mL deionized water blank. Vortex thoroughly, and label as </w:t>
      </w:r>
      <w:r w:rsidRPr="00F2331F">
        <w:rPr>
          <w:rFonts w:asciiTheme="majorBidi" w:eastAsia="Times New Roman" w:hAnsiTheme="majorBidi" w:cstheme="majorBidi"/>
          <w:color w:val="292B31"/>
          <w:sz w:val="32"/>
          <w:szCs w:val="32"/>
          <w:highlight w:val="red"/>
        </w:rPr>
        <w:t>“B”.</w:t>
      </w:r>
    </w:p>
    <w:p w:rsidR="00F2331F" w:rsidRPr="00F2331F" w:rsidRDefault="00F2331F" w:rsidP="00F2331F">
      <w:pPr>
        <w:numPr>
          <w:ilvl w:val="0"/>
          <w:numId w:val="2"/>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Repeat this dilution step three times, each time with 1 mL of the previous suspension and </w:t>
      </w:r>
      <w:proofErr w:type="gramStart"/>
      <w:r w:rsidRPr="00F2331F">
        <w:rPr>
          <w:rFonts w:asciiTheme="majorBidi" w:eastAsia="Times New Roman" w:hAnsiTheme="majorBidi" w:cstheme="majorBidi"/>
          <w:color w:val="292B31"/>
          <w:sz w:val="32"/>
          <w:szCs w:val="32"/>
        </w:rPr>
        <w:t>a 9</w:t>
      </w:r>
      <w:proofErr w:type="gramEnd"/>
      <w:r w:rsidRPr="00F2331F">
        <w:rPr>
          <w:rFonts w:asciiTheme="majorBidi" w:eastAsia="Times New Roman" w:hAnsiTheme="majorBidi" w:cstheme="majorBidi"/>
          <w:color w:val="292B31"/>
          <w:sz w:val="32"/>
          <w:szCs w:val="32"/>
        </w:rPr>
        <w:t xml:space="preserve">-mL deionized water blank. Label these sequentially as tubes </w:t>
      </w:r>
      <w:r w:rsidRPr="00F2331F">
        <w:rPr>
          <w:rFonts w:asciiTheme="majorBidi" w:eastAsia="Times New Roman" w:hAnsiTheme="majorBidi" w:cstheme="majorBidi"/>
          <w:color w:val="292B31"/>
          <w:sz w:val="32"/>
          <w:szCs w:val="32"/>
          <w:highlight w:val="red"/>
        </w:rPr>
        <w:t>C, D, and E.</w:t>
      </w:r>
      <w:r w:rsidRPr="00F2331F">
        <w:rPr>
          <w:rFonts w:asciiTheme="majorBidi" w:eastAsia="Times New Roman" w:hAnsiTheme="majorBidi" w:cstheme="majorBidi"/>
          <w:color w:val="292B31"/>
          <w:sz w:val="32"/>
          <w:szCs w:val="32"/>
        </w:rPr>
        <w:t xml:space="preserve"> This results in serial dilutions of 10</w:t>
      </w:r>
      <w:r w:rsidRPr="00F2331F">
        <w:rPr>
          <w:rFonts w:asciiTheme="majorBidi" w:eastAsia="Times New Roman" w:hAnsiTheme="majorBidi" w:cstheme="majorBidi"/>
          <w:color w:val="292B31"/>
          <w:sz w:val="32"/>
          <w:szCs w:val="32"/>
          <w:vertAlign w:val="superscript"/>
        </w:rPr>
        <w:t>-1</w:t>
      </w:r>
      <w:r w:rsidRPr="00F2331F">
        <w:rPr>
          <w:rFonts w:asciiTheme="majorBidi" w:eastAsia="Times New Roman" w:hAnsiTheme="majorBidi" w:cstheme="majorBidi"/>
          <w:color w:val="292B31"/>
          <w:sz w:val="32"/>
          <w:szCs w:val="32"/>
        </w:rPr>
        <w:t> through 10</w:t>
      </w:r>
      <w:r w:rsidRPr="00F2331F">
        <w:rPr>
          <w:rFonts w:asciiTheme="majorBidi" w:eastAsia="Times New Roman" w:hAnsiTheme="majorBidi" w:cstheme="majorBidi"/>
          <w:color w:val="292B31"/>
          <w:sz w:val="32"/>
          <w:szCs w:val="32"/>
          <w:vertAlign w:val="superscript"/>
        </w:rPr>
        <w:t>-5</w:t>
      </w:r>
      <w:r w:rsidRPr="00F2331F">
        <w:rPr>
          <w:rFonts w:asciiTheme="majorBidi" w:eastAsia="Times New Roman" w:hAnsiTheme="majorBidi" w:cstheme="majorBidi"/>
          <w:color w:val="292B31"/>
          <w:sz w:val="32"/>
          <w:szCs w:val="32"/>
        </w:rPr>
        <w:t> grams of soil per mL</w:t>
      </w:r>
    </w:p>
    <w:p w:rsidR="00F2331F" w:rsidRPr="00F2331F" w:rsidRDefault="00F2331F" w:rsidP="00F2331F">
      <w:pPr>
        <w:shd w:val="clear" w:color="auto" w:fill="FFFFFF"/>
        <w:spacing w:before="100" w:beforeAutospacing="1" w:after="300" w:line="360" w:lineRule="auto"/>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highlight w:val="yellow"/>
        </w:rPr>
        <w:lastRenderedPageBreak/>
        <w:t>2. Making Spread Plates for Bacterial Culture</w:t>
      </w:r>
    </w:p>
    <w:p w:rsidR="00F2331F" w:rsidRPr="00F2331F" w:rsidRDefault="00F2331F" w:rsidP="00F2331F">
      <w:pPr>
        <w:numPr>
          <w:ilvl w:val="0"/>
          <w:numId w:val="3"/>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To grow bacterial colonies, take three pre-prepared peptone-yeast agar plates and label them as C, D, and E. Vortex samples C, D, and E, and pipette 0.1 mL onto each plate. This increases the dilution value further, by a factor of ten (C = 10</w:t>
      </w:r>
      <w:r w:rsidRPr="00F2331F">
        <w:rPr>
          <w:rFonts w:asciiTheme="majorBidi" w:eastAsia="Times New Roman" w:hAnsiTheme="majorBidi" w:cstheme="majorBidi"/>
          <w:color w:val="292B31"/>
          <w:sz w:val="32"/>
          <w:szCs w:val="32"/>
          <w:vertAlign w:val="superscript"/>
        </w:rPr>
        <w:t>-3</w:t>
      </w:r>
      <w:r w:rsidRPr="00F2331F">
        <w:rPr>
          <w:rFonts w:asciiTheme="majorBidi" w:eastAsia="Times New Roman" w:hAnsiTheme="majorBidi" w:cstheme="majorBidi"/>
          <w:color w:val="292B31"/>
          <w:sz w:val="32"/>
          <w:szCs w:val="32"/>
        </w:rPr>
        <w:t>, D = 10</w:t>
      </w:r>
      <w:r w:rsidRPr="00F2331F">
        <w:rPr>
          <w:rFonts w:asciiTheme="majorBidi" w:eastAsia="Times New Roman" w:hAnsiTheme="majorBidi" w:cstheme="majorBidi"/>
          <w:color w:val="292B31"/>
          <w:sz w:val="32"/>
          <w:szCs w:val="32"/>
          <w:vertAlign w:val="superscript"/>
        </w:rPr>
        <w:t>-4</w:t>
      </w:r>
      <w:r w:rsidRPr="00F2331F">
        <w:rPr>
          <w:rFonts w:asciiTheme="majorBidi" w:eastAsia="Times New Roman" w:hAnsiTheme="majorBidi" w:cstheme="majorBidi"/>
          <w:color w:val="292B31"/>
          <w:sz w:val="32"/>
          <w:szCs w:val="32"/>
        </w:rPr>
        <w:t>, E = 10</w:t>
      </w:r>
      <w:r w:rsidRPr="00F2331F">
        <w:rPr>
          <w:rFonts w:asciiTheme="majorBidi" w:eastAsia="Times New Roman" w:hAnsiTheme="majorBidi" w:cstheme="majorBidi"/>
          <w:color w:val="292B31"/>
          <w:sz w:val="32"/>
          <w:szCs w:val="32"/>
          <w:vertAlign w:val="superscript"/>
        </w:rPr>
        <w:t>-5</w:t>
      </w:r>
      <w:r w:rsidRPr="00F2331F">
        <w:rPr>
          <w:rFonts w:asciiTheme="majorBidi" w:eastAsia="Times New Roman" w:hAnsiTheme="majorBidi" w:cstheme="majorBidi"/>
          <w:color w:val="292B31"/>
          <w:sz w:val="32"/>
          <w:szCs w:val="32"/>
        </w:rPr>
        <w:t>)</w:t>
      </w:r>
      <w:proofErr w:type="gramStart"/>
      <w:r w:rsidRPr="00F2331F">
        <w:rPr>
          <w:rFonts w:asciiTheme="majorBidi" w:eastAsia="Times New Roman" w:hAnsiTheme="majorBidi" w:cstheme="majorBidi"/>
          <w:color w:val="292B31"/>
          <w:sz w:val="32"/>
          <w:szCs w:val="32"/>
        </w:rPr>
        <w:t>..</w:t>
      </w:r>
      <w:proofErr w:type="gramEnd"/>
    </w:p>
    <w:p w:rsidR="00F2331F" w:rsidRDefault="00F2331F" w:rsidP="00F2331F">
      <w:pPr>
        <w:numPr>
          <w:ilvl w:val="0"/>
          <w:numId w:val="3"/>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Hold the spreader above the first plate until the flame is extinguished. Open the plate quickly, and then </w:t>
      </w:r>
      <w:proofErr w:type="gramStart"/>
      <w:r w:rsidRPr="00F2331F">
        <w:rPr>
          <w:rFonts w:asciiTheme="majorBidi" w:eastAsia="Times New Roman" w:hAnsiTheme="majorBidi" w:cstheme="majorBidi"/>
          <w:color w:val="292B31"/>
          <w:sz w:val="32"/>
          <w:szCs w:val="32"/>
        </w:rPr>
        <w:t>spread the drop of inoculum around the surface of the agar until traces of free liquid disappear</w:t>
      </w:r>
      <w:proofErr w:type="gramEnd"/>
      <w:r w:rsidRPr="00F2331F">
        <w:rPr>
          <w:rFonts w:asciiTheme="majorBidi" w:eastAsia="Times New Roman" w:hAnsiTheme="majorBidi" w:cstheme="majorBidi"/>
          <w:color w:val="292B31"/>
          <w:sz w:val="32"/>
          <w:szCs w:val="32"/>
        </w:rPr>
        <w:t xml:space="preserve">. </w:t>
      </w:r>
    </w:p>
    <w:p w:rsidR="00F2331F" w:rsidRPr="00F2331F" w:rsidRDefault="00F2331F" w:rsidP="00F2331F">
      <w:pPr>
        <w:numPr>
          <w:ilvl w:val="0"/>
          <w:numId w:val="3"/>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Re-flame the spreader and repeat the process with the next plate, working quickly so as not to contaminate the agar with airborne organisms</w:t>
      </w:r>
    </w:p>
    <w:p w:rsidR="00F2331F" w:rsidRPr="00F2331F" w:rsidRDefault="00F2331F" w:rsidP="00F2331F">
      <w:pPr>
        <w:numPr>
          <w:ilvl w:val="0"/>
          <w:numId w:val="3"/>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Incubate the bacteria plates at room temperature for 1 week. Make sure the plates are inverted during the incubation to prevent drops of moisture from condensation from falling onto the agar surface.</w:t>
      </w:r>
    </w:p>
    <w:p w:rsidR="00F2331F" w:rsidRPr="00F2331F" w:rsidRDefault="00F2331F" w:rsidP="00F2331F">
      <w:pPr>
        <w:shd w:val="clear" w:color="auto" w:fill="FFFFFF"/>
        <w:spacing w:before="100" w:beforeAutospacing="1" w:after="300" w:line="360" w:lineRule="auto"/>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highlight w:val="yellow"/>
        </w:rPr>
        <w:t xml:space="preserve">3. Making Spread Plates for </w:t>
      </w:r>
      <w:proofErr w:type="spellStart"/>
      <w:r w:rsidRPr="00F2331F">
        <w:rPr>
          <w:rFonts w:asciiTheme="majorBidi" w:eastAsia="Times New Roman" w:hAnsiTheme="majorBidi" w:cstheme="majorBidi"/>
          <w:color w:val="292B31"/>
          <w:sz w:val="32"/>
          <w:szCs w:val="32"/>
          <w:highlight w:val="yellow"/>
        </w:rPr>
        <w:t>Actinomycetes</w:t>
      </w:r>
      <w:proofErr w:type="spellEnd"/>
    </w:p>
    <w:p w:rsidR="00F2331F" w:rsidRPr="00F2331F" w:rsidRDefault="00F2331F" w:rsidP="00F2331F">
      <w:pPr>
        <w:numPr>
          <w:ilvl w:val="0"/>
          <w:numId w:val="4"/>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To grow </w:t>
      </w:r>
      <w:proofErr w:type="spellStart"/>
      <w:r w:rsidRPr="00F2331F">
        <w:rPr>
          <w:rFonts w:asciiTheme="majorBidi" w:eastAsia="Times New Roman" w:hAnsiTheme="majorBidi" w:cstheme="majorBidi"/>
          <w:color w:val="292B31"/>
          <w:sz w:val="32"/>
          <w:szCs w:val="32"/>
        </w:rPr>
        <w:t>actinomycetes</w:t>
      </w:r>
      <w:proofErr w:type="spellEnd"/>
      <w:r w:rsidRPr="00F2331F">
        <w:rPr>
          <w:rFonts w:asciiTheme="majorBidi" w:eastAsia="Times New Roman" w:hAnsiTheme="majorBidi" w:cstheme="majorBidi"/>
          <w:color w:val="292B31"/>
          <w:sz w:val="32"/>
          <w:szCs w:val="32"/>
        </w:rPr>
        <w:t xml:space="preserve">, take three pre-prepared glycerol-casein plates and label them as B, C, and D. Using the techniques shown previously, spread plate 0.1 mL from the suspensions B, C, and D. The lower dilutions are used because </w:t>
      </w:r>
      <w:proofErr w:type="spellStart"/>
      <w:r w:rsidRPr="00F2331F">
        <w:rPr>
          <w:rFonts w:asciiTheme="majorBidi" w:eastAsia="Times New Roman" w:hAnsiTheme="majorBidi" w:cstheme="majorBidi"/>
          <w:color w:val="292B31"/>
          <w:sz w:val="32"/>
          <w:szCs w:val="32"/>
        </w:rPr>
        <w:t>actinomycetes</w:t>
      </w:r>
      <w:proofErr w:type="spellEnd"/>
      <w:r w:rsidRPr="00F2331F">
        <w:rPr>
          <w:rFonts w:asciiTheme="majorBidi" w:eastAsia="Times New Roman" w:hAnsiTheme="majorBidi" w:cstheme="majorBidi"/>
          <w:color w:val="292B31"/>
          <w:sz w:val="32"/>
          <w:szCs w:val="32"/>
        </w:rPr>
        <w:t xml:space="preserve"> are typically present as 1/10</w:t>
      </w:r>
      <w:r w:rsidRPr="00F2331F">
        <w:rPr>
          <w:rFonts w:asciiTheme="majorBidi" w:eastAsia="Times New Roman" w:hAnsiTheme="majorBidi" w:cstheme="majorBidi"/>
          <w:color w:val="292B31"/>
          <w:sz w:val="32"/>
          <w:szCs w:val="32"/>
          <w:vertAlign w:val="superscript"/>
        </w:rPr>
        <w:t>th</w:t>
      </w:r>
      <w:r w:rsidRPr="00F2331F">
        <w:rPr>
          <w:rFonts w:asciiTheme="majorBidi" w:eastAsia="Times New Roman" w:hAnsiTheme="majorBidi" w:cstheme="majorBidi"/>
          <w:color w:val="292B31"/>
          <w:sz w:val="32"/>
          <w:szCs w:val="32"/>
        </w:rPr>
        <w:t> of the bacterial population (B = 10</w:t>
      </w:r>
      <w:r w:rsidRPr="00F2331F">
        <w:rPr>
          <w:rFonts w:asciiTheme="majorBidi" w:eastAsia="Times New Roman" w:hAnsiTheme="majorBidi" w:cstheme="majorBidi"/>
          <w:color w:val="292B31"/>
          <w:sz w:val="32"/>
          <w:szCs w:val="32"/>
          <w:vertAlign w:val="superscript"/>
        </w:rPr>
        <w:t>-2</w:t>
      </w:r>
      <w:r w:rsidRPr="00F2331F">
        <w:rPr>
          <w:rFonts w:asciiTheme="majorBidi" w:eastAsia="Times New Roman" w:hAnsiTheme="majorBidi" w:cstheme="majorBidi"/>
          <w:color w:val="292B31"/>
          <w:sz w:val="32"/>
          <w:szCs w:val="32"/>
        </w:rPr>
        <w:t>, C = 10</w:t>
      </w:r>
      <w:r w:rsidRPr="00F2331F">
        <w:rPr>
          <w:rFonts w:asciiTheme="majorBidi" w:eastAsia="Times New Roman" w:hAnsiTheme="majorBidi" w:cstheme="majorBidi"/>
          <w:color w:val="292B31"/>
          <w:sz w:val="32"/>
          <w:szCs w:val="32"/>
          <w:vertAlign w:val="superscript"/>
        </w:rPr>
        <w:t>-3</w:t>
      </w:r>
      <w:r w:rsidRPr="00F2331F">
        <w:rPr>
          <w:rFonts w:asciiTheme="majorBidi" w:eastAsia="Times New Roman" w:hAnsiTheme="majorBidi" w:cstheme="majorBidi"/>
          <w:color w:val="292B31"/>
          <w:sz w:val="32"/>
          <w:szCs w:val="32"/>
        </w:rPr>
        <w:t>, D = 10</w:t>
      </w:r>
      <w:r w:rsidRPr="00F2331F">
        <w:rPr>
          <w:rFonts w:asciiTheme="majorBidi" w:eastAsia="Times New Roman" w:hAnsiTheme="majorBidi" w:cstheme="majorBidi"/>
          <w:color w:val="292B31"/>
          <w:sz w:val="32"/>
          <w:szCs w:val="32"/>
          <w:vertAlign w:val="superscript"/>
        </w:rPr>
        <w:t>-4</w:t>
      </w:r>
      <w:r w:rsidRPr="00F2331F">
        <w:rPr>
          <w:rFonts w:asciiTheme="majorBidi" w:eastAsia="Times New Roman" w:hAnsiTheme="majorBidi" w:cstheme="majorBidi"/>
          <w:color w:val="292B31"/>
          <w:sz w:val="32"/>
          <w:szCs w:val="32"/>
        </w:rPr>
        <w:t>).</w:t>
      </w:r>
    </w:p>
    <w:p w:rsidR="00F2331F" w:rsidRPr="00F2331F" w:rsidRDefault="00F2331F" w:rsidP="00F2331F">
      <w:pPr>
        <w:numPr>
          <w:ilvl w:val="0"/>
          <w:numId w:val="4"/>
        </w:numPr>
        <w:shd w:val="clear" w:color="auto" w:fill="FFFFFF"/>
        <w:spacing w:before="100" w:beforeAutospacing="1" w:after="150" w:line="360" w:lineRule="auto"/>
        <w:ind w:left="0"/>
        <w:rPr>
          <w:rFonts w:asciiTheme="majorBidi" w:eastAsia="Times New Roman" w:hAnsiTheme="majorBidi" w:cstheme="majorBidi"/>
          <w:color w:val="292B31"/>
          <w:sz w:val="32"/>
          <w:szCs w:val="32"/>
          <w:highlight w:val="yellow"/>
        </w:rPr>
      </w:pPr>
      <w:r w:rsidRPr="00F2331F">
        <w:rPr>
          <w:rFonts w:asciiTheme="majorBidi" w:eastAsia="Times New Roman" w:hAnsiTheme="majorBidi" w:cstheme="majorBidi"/>
          <w:color w:val="292B31"/>
          <w:sz w:val="32"/>
          <w:szCs w:val="32"/>
        </w:rPr>
        <w:lastRenderedPageBreak/>
        <w:t xml:space="preserve">Incubate the </w:t>
      </w:r>
      <w:proofErr w:type="spellStart"/>
      <w:r w:rsidRPr="00F2331F">
        <w:rPr>
          <w:rFonts w:asciiTheme="majorBidi" w:eastAsia="Times New Roman" w:hAnsiTheme="majorBidi" w:cstheme="majorBidi"/>
          <w:color w:val="292B31"/>
          <w:sz w:val="32"/>
          <w:szCs w:val="32"/>
        </w:rPr>
        <w:t>actinomycete</w:t>
      </w:r>
      <w:proofErr w:type="spellEnd"/>
      <w:r w:rsidRPr="00F2331F">
        <w:rPr>
          <w:rFonts w:asciiTheme="majorBidi" w:eastAsia="Times New Roman" w:hAnsiTheme="majorBidi" w:cstheme="majorBidi"/>
          <w:color w:val="292B31"/>
          <w:sz w:val="32"/>
          <w:szCs w:val="32"/>
        </w:rPr>
        <w:t xml:space="preserve"> plates (inverted) at room temperature </w:t>
      </w:r>
      <w:r w:rsidRPr="00F2331F">
        <w:rPr>
          <w:rFonts w:asciiTheme="majorBidi" w:eastAsia="Times New Roman" w:hAnsiTheme="majorBidi" w:cstheme="majorBidi"/>
          <w:color w:val="292B31"/>
          <w:sz w:val="32"/>
          <w:szCs w:val="32"/>
          <w:highlight w:val="yellow"/>
        </w:rPr>
        <w:t>for 2 weeks.</w:t>
      </w:r>
    </w:p>
    <w:p w:rsidR="00F2331F" w:rsidRPr="00F2331F" w:rsidRDefault="00F2331F" w:rsidP="00F2331F">
      <w:pPr>
        <w:shd w:val="clear" w:color="auto" w:fill="FFFFFF"/>
        <w:spacing w:before="100" w:beforeAutospacing="1" w:after="300" w:line="360" w:lineRule="auto"/>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4. Bacterial and </w:t>
      </w:r>
      <w:proofErr w:type="spellStart"/>
      <w:r w:rsidRPr="00F2331F">
        <w:rPr>
          <w:rFonts w:asciiTheme="majorBidi" w:eastAsia="Times New Roman" w:hAnsiTheme="majorBidi" w:cstheme="majorBidi"/>
          <w:color w:val="292B31"/>
          <w:sz w:val="32"/>
          <w:szCs w:val="32"/>
        </w:rPr>
        <w:t>Actinomycete</w:t>
      </w:r>
      <w:proofErr w:type="spellEnd"/>
      <w:r w:rsidRPr="00F2331F">
        <w:rPr>
          <w:rFonts w:asciiTheme="majorBidi" w:eastAsia="Times New Roman" w:hAnsiTheme="majorBidi" w:cstheme="majorBidi"/>
          <w:color w:val="292B31"/>
          <w:sz w:val="32"/>
          <w:szCs w:val="32"/>
        </w:rPr>
        <w:t xml:space="preserve"> Counts</w:t>
      </w:r>
    </w:p>
    <w:p w:rsidR="00F2331F" w:rsidRPr="00F2331F" w:rsidRDefault="00F2331F" w:rsidP="00F2331F">
      <w:pPr>
        <w:numPr>
          <w:ilvl w:val="0"/>
          <w:numId w:val="5"/>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After incubation, examine all of the bacteria plates carefully, and note differences in colony size and shape. When grown on agar, bacteria produce slimy colonies ranging from colorless to bright orange, yellow, or pink. In contrast, </w:t>
      </w:r>
      <w:proofErr w:type="spellStart"/>
      <w:r w:rsidRPr="00F2331F">
        <w:rPr>
          <w:rFonts w:asciiTheme="majorBidi" w:eastAsia="Times New Roman" w:hAnsiTheme="majorBidi" w:cstheme="majorBidi"/>
          <w:color w:val="292B31"/>
          <w:sz w:val="32"/>
          <w:szCs w:val="32"/>
        </w:rPr>
        <w:t>actinomycete</w:t>
      </w:r>
      <w:proofErr w:type="spellEnd"/>
      <w:r w:rsidRPr="00F2331F">
        <w:rPr>
          <w:rFonts w:asciiTheme="majorBidi" w:eastAsia="Times New Roman" w:hAnsiTheme="majorBidi" w:cstheme="majorBidi"/>
          <w:color w:val="292B31"/>
          <w:sz w:val="32"/>
          <w:szCs w:val="32"/>
        </w:rPr>
        <w:t xml:space="preserve"> colonies are chalky, firm, leathery, and will break under pressure, where other bacterial colonies will smear. This allows colonies to be distinguished by touch with a sterile loop.</w:t>
      </w:r>
    </w:p>
    <w:p w:rsidR="00F2331F" w:rsidRDefault="00F2331F" w:rsidP="00F2331F">
      <w:pPr>
        <w:numPr>
          <w:ilvl w:val="0"/>
          <w:numId w:val="5"/>
        </w:numPr>
        <w:shd w:val="clear" w:color="auto" w:fill="FFFFFF"/>
        <w:spacing w:before="100" w:beforeAutospacing="1" w:after="150" w:line="360" w:lineRule="auto"/>
        <w:ind w:left="0"/>
        <w:rPr>
          <w:rFonts w:asciiTheme="majorBidi" w:eastAsia="Times New Roman" w:hAnsiTheme="majorBidi" w:cstheme="majorBidi"/>
          <w:color w:val="292B31"/>
          <w:sz w:val="32"/>
          <w:szCs w:val="32"/>
        </w:rPr>
      </w:pPr>
      <w:r w:rsidRPr="00F2331F">
        <w:rPr>
          <w:rFonts w:asciiTheme="majorBidi" w:eastAsia="Times New Roman" w:hAnsiTheme="majorBidi" w:cstheme="majorBidi"/>
          <w:color w:val="292B31"/>
          <w:sz w:val="32"/>
          <w:szCs w:val="32"/>
        </w:rPr>
        <w:t xml:space="preserve">Count and record the number of bacterial colonies, including any </w:t>
      </w:r>
      <w:proofErr w:type="spellStart"/>
      <w:r w:rsidRPr="00F2331F">
        <w:rPr>
          <w:rFonts w:asciiTheme="majorBidi" w:eastAsia="Times New Roman" w:hAnsiTheme="majorBidi" w:cstheme="majorBidi"/>
          <w:color w:val="292B31"/>
          <w:sz w:val="32"/>
          <w:szCs w:val="32"/>
        </w:rPr>
        <w:t>actinomycetes</w:t>
      </w:r>
      <w:proofErr w:type="spellEnd"/>
      <w:r w:rsidRPr="00F2331F">
        <w:rPr>
          <w:rFonts w:asciiTheme="majorBidi" w:eastAsia="Times New Roman" w:hAnsiTheme="majorBidi" w:cstheme="majorBidi"/>
          <w:color w:val="292B31"/>
          <w:sz w:val="32"/>
          <w:szCs w:val="32"/>
        </w:rPr>
        <w:t>. Only count plates with 30-200 colonies per plate.</w:t>
      </w:r>
    </w:p>
    <w:p w:rsidR="00C72682" w:rsidRPr="00C72682" w:rsidRDefault="00C72682" w:rsidP="00C72682">
      <w:pPr>
        <w:shd w:val="clear" w:color="auto" w:fill="FFFFFF"/>
        <w:spacing w:before="100" w:beforeAutospacing="1" w:after="100" w:afterAutospacing="1" w:line="240" w:lineRule="auto"/>
        <w:outlineLvl w:val="2"/>
        <w:rPr>
          <w:rFonts w:ascii="Arial" w:eastAsia="Times New Roman" w:hAnsi="Arial" w:cs="Arial"/>
          <w:b/>
          <w:bCs/>
          <w:caps/>
          <w:color w:val="0B3871"/>
          <w:spacing w:val="6"/>
          <w:sz w:val="23"/>
          <w:szCs w:val="23"/>
        </w:rPr>
      </w:pPr>
      <w:r w:rsidRPr="00C72682">
        <w:rPr>
          <w:rFonts w:ascii="Arial" w:eastAsia="Times New Roman" w:hAnsi="Arial" w:cs="Arial"/>
          <w:b/>
          <w:bCs/>
          <w:caps/>
          <w:color w:val="0B3871"/>
          <w:spacing w:val="6"/>
          <w:sz w:val="23"/>
          <w:szCs w:val="23"/>
        </w:rPr>
        <w:t>RESULTS</w:t>
      </w:r>
    </w:p>
    <w:p w:rsidR="00885B00" w:rsidRPr="00F2331F" w:rsidRDefault="00885B00" w:rsidP="00885B00">
      <w:pPr>
        <w:shd w:val="clear" w:color="auto" w:fill="FFFFFF"/>
        <w:spacing w:before="100" w:beforeAutospacing="1" w:after="150" w:line="360" w:lineRule="auto"/>
        <w:rPr>
          <w:rFonts w:asciiTheme="majorBidi" w:eastAsia="Times New Roman" w:hAnsiTheme="majorBidi" w:cstheme="majorBidi"/>
          <w:color w:val="292B31"/>
          <w:sz w:val="32"/>
          <w:szCs w:val="32"/>
        </w:rPr>
      </w:pPr>
    </w:p>
    <w:p w:rsidR="00F2331F" w:rsidRPr="00F2331F" w:rsidRDefault="00F2331F" w:rsidP="00F2331F">
      <w:pPr>
        <w:shd w:val="clear" w:color="auto" w:fill="FFFFFF"/>
        <w:spacing w:before="100" w:beforeAutospacing="1" w:after="300" w:line="240" w:lineRule="auto"/>
        <w:rPr>
          <w:rFonts w:ascii="Arial" w:eastAsia="Times New Roman" w:hAnsi="Arial" w:cs="Arial"/>
          <w:color w:val="292B31"/>
          <w:sz w:val="24"/>
          <w:szCs w:val="24"/>
        </w:rPr>
      </w:pPr>
      <w:r w:rsidRPr="00F2331F">
        <w:rPr>
          <w:rFonts w:ascii="Arial" w:eastAsia="Times New Roman" w:hAnsi="Arial" w:cs="Arial"/>
          <w:noProof/>
          <w:color w:val="292B31"/>
          <w:sz w:val="24"/>
          <w:szCs w:val="24"/>
        </w:rPr>
        <w:drawing>
          <wp:inline distT="0" distB="0" distL="0" distR="0" wp14:anchorId="00FDDC17" wp14:editId="25F0FC07">
            <wp:extent cx="4105275" cy="1283970"/>
            <wp:effectExtent l="0" t="0" r="9525" b="0"/>
            <wp:docPr id="1" name="Picture 1" descr="Equ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1283970"/>
                    </a:xfrm>
                    <a:prstGeom prst="rect">
                      <a:avLst/>
                    </a:prstGeom>
                    <a:noFill/>
                    <a:ln>
                      <a:noFill/>
                    </a:ln>
                  </pic:spPr>
                </pic:pic>
              </a:graphicData>
            </a:graphic>
          </wp:inline>
        </w:drawing>
      </w:r>
    </w:p>
    <w:p w:rsidR="00F2331F" w:rsidRPr="00F2331F" w:rsidRDefault="00F2331F" w:rsidP="00C72682">
      <w:pPr>
        <w:shd w:val="clear" w:color="auto" w:fill="FFFFFF"/>
        <w:spacing w:before="100" w:beforeAutospacing="1" w:after="300" w:line="240" w:lineRule="auto"/>
        <w:rPr>
          <w:rFonts w:ascii="Arial" w:eastAsia="Times New Roman" w:hAnsi="Arial" w:cs="Arial"/>
          <w:color w:val="292B31"/>
          <w:sz w:val="24"/>
          <w:szCs w:val="24"/>
        </w:rPr>
      </w:pPr>
    </w:p>
    <w:tbl>
      <w:tblPr>
        <w:tblpPr w:leftFromText="180" w:rightFromText="180" w:vertAnchor="text" w:horzAnchor="margin" w:tblpXSpec="center" w:tblpY="386"/>
        <w:tblW w:w="94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8"/>
        <w:gridCol w:w="4858"/>
        <w:gridCol w:w="1132"/>
      </w:tblGrid>
      <w:tr w:rsidR="00885B00" w:rsidRPr="00885B00" w:rsidTr="00885B00">
        <w:trPr>
          <w:trHeight w:val="665"/>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b/>
                <w:bCs/>
                <w:color w:val="404040"/>
                <w:sz w:val="30"/>
                <w:szCs w:val="30"/>
              </w:rPr>
              <w:t>Step</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b/>
                <w:bCs/>
                <w:color w:val="404040"/>
                <w:sz w:val="30"/>
                <w:szCs w:val="30"/>
              </w:rPr>
              <w:t>Dilution</w:t>
            </w:r>
          </w:p>
        </w:tc>
      </w:tr>
      <w:tr w:rsidR="00885B00" w:rsidRPr="00885B00" w:rsidTr="00885B00">
        <w:trPr>
          <w:trHeight w:val="665"/>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lastRenderedPageBreak/>
              <w:t>10 g soil (weight/volume)</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95 mL saline (solution 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10</w:t>
            </w:r>
            <w:r w:rsidRPr="00885B00">
              <w:rPr>
                <w:rFonts w:ascii="Arial" w:eastAsia="Times New Roman" w:hAnsi="Arial" w:cs="Arial"/>
                <w:color w:val="404040"/>
                <w:sz w:val="23"/>
                <w:szCs w:val="23"/>
                <w:vertAlign w:val="superscript"/>
              </w:rPr>
              <w:t>-1</w:t>
            </w:r>
          </w:p>
        </w:tc>
      </w:tr>
      <w:tr w:rsidR="00885B00" w:rsidRPr="00885B00" w:rsidTr="00885B00">
        <w:trPr>
          <w:trHeight w:val="665"/>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 mL solution A (volume/volume)</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9 mL saline (solution 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10</w:t>
            </w:r>
            <w:r w:rsidRPr="00885B00">
              <w:rPr>
                <w:rFonts w:ascii="Arial" w:eastAsia="Times New Roman" w:hAnsi="Arial" w:cs="Arial"/>
                <w:color w:val="404040"/>
                <w:sz w:val="23"/>
                <w:szCs w:val="23"/>
                <w:vertAlign w:val="superscript"/>
              </w:rPr>
              <w:t>-2</w:t>
            </w:r>
          </w:p>
        </w:tc>
      </w:tr>
      <w:tr w:rsidR="00885B00" w:rsidRPr="00885B00" w:rsidTr="00885B00">
        <w:trPr>
          <w:trHeight w:val="665"/>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 mL solution B (volume/volume)</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9 mL saline (solution 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10</w:t>
            </w:r>
            <w:r w:rsidRPr="00885B00">
              <w:rPr>
                <w:rFonts w:ascii="Arial" w:eastAsia="Times New Roman" w:hAnsi="Arial" w:cs="Arial"/>
                <w:color w:val="404040"/>
                <w:sz w:val="23"/>
                <w:szCs w:val="23"/>
                <w:vertAlign w:val="superscript"/>
              </w:rPr>
              <w:t>-3</w:t>
            </w:r>
          </w:p>
        </w:tc>
      </w:tr>
      <w:tr w:rsidR="00885B00" w:rsidRPr="00885B00" w:rsidTr="00885B00">
        <w:trPr>
          <w:trHeight w:val="665"/>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 mL solution C (volume/volume)</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9 mL saline (solution 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10</w:t>
            </w:r>
            <w:r w:rsidRPr="00885B00">
              <w:rPr>
                <w:rFonts w:ascii="Arial" w:eastAsia="Times New Roman" w:hAnsi="Arial" w:cs="Arial"/>
                <w:color w:val="404040"/>
                <w:sz w:val="23"/>
                <w:szCs w:val="23"/>
                <w:vertAlign w:val="superscript"/>
              </w:rPr>
              <w:t>-4</w:t>
            </w:r>
          </w:p>
        </w:tc>
      </w:tr>
      <w:tr w:rsidR="00885B00" w:rsidRPr="00885B00" w:rsidTr="00885B00">
        <w:trPr>
          <w:trHeight w:val="679"/>
        </w:trPr>
        <w:tc>
          <w:tcPr>
            <w:tcW w:w="34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 mL solution D (volume/volume)</w:t>
            </w:r>
          </w:p>
        </w:tc>
        <w:tc>
          <w:tcPr>
            <w:tcW w:w="48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9 mL saline (solution 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85B00" w:rsidRPr="00885B00" w:rsidRDefault="00885B00" w:rsidP="00885B00">
            <w:pPr>
              <w:spacing w:after="360" w:line="240" w:lineRule="auto"/>
              <w:rPr>
                <w:rFonts w:ascii="Arial" w:eastAsia="Times New Roman" w:hAnsi="Arial" w:cs="Arial"/>
                <w:color w:val="404040"/>
                <w:sz w:val="30"/>
                <w:szCs w:val="30"/>
              </w:rPr>
            </w:pPr>
            <w:r w:rsidRPr="00885B00">
              <w:rPr>
                <w:rFonts w:ascii="Arial" w:eastAsia="Times New Roman" w:hAnsi="Arial" w:cs="Arial"/>
                <w:color w:val="404040"/>
                <w:sz w:val="30"/>
                <w:szCs w:val="30"/>
              </w:rPr>
              <w:t>10</w:t>
            </w:r>
            <w:r w:rsidRPr="00885B00">
              <w:rPr>
                <w:rFonts w:ascii="Arial" w:eastAsia="Times New Roman" w:hAnsi="Arial" w:cs="Arial"/>
                <w:color w:val="404040"/>
                <w:sz w:val="23"/>
                <w:szCs w:val="23"/>
                <w:vertAlign w:val="superscript"/>
              </w:rPr>
              <w:t>-5</w:t>
            </w:r>
          </w:p>
        </w:tc>
      </w:tr>
    </w:tbl>
    <w:p w:rsidR="00F2331F" w:rsidRPr="001A2EF5" w:rsidRDefault="00F2331F" w:rsidP="00F2331F">
      <w:pPr>
        <w:spacing w:before="100" w:beforeAutospacing="1" w:after="300" w:line="360" w:lineRule="auto"/>
        <w:rPr>
          <w:rFonts w:asciiTheme="majorBidi" w:eastAsia="Times New Roman" w:hAnsiTheme="majorBidi" w:cstheme="majorBidi"/>
          <w:color w:val="292B31"/>
          <w:sz w:val="32"/>
          <w:szCs w:val="32"/>
        </w:rPr>
      </w:pPr>
    </w:p>
    <w:p w:rsidR="00923953" w:rsidRPr="001A2EF5" w:rsidRDefault="00923953" w:rsidP="001A2EF5">
      <w:pPr>
        <w:spacing w:line="360" w:lineRule="auto"/>
        <w:rPr>
          <w:rFonts w:asciiTheme="majorBidi" w:hAnsiTheme="majorBidi" w:cstheme="majorBidi"/>
          <w:sz w:val="32"/>
          <w:szCs w:val="32"/>
        </w:rPr>
      </w:pPr>
    </w:p>
    <w:sectPr w:rsidR="00923953" w:rsidRPr="001A2EF5" w:rsidSect="00125997">
      <w:pgSz w:w="12240" w:h="15840"/>
      <w:pgMar w:top="1440" w:right="1440" w:bottom="1440" w:left="1440" w:header="720" w:footer="720" w:gutter="0"/>
      <w:pgBorders w:offsetFrom="page">
        <w:top w:val="trees" w:sz="24" w:space="24" w:color="auto"/>
        <w:left w:val="trees" w:sz="24" w:space="24" w:color="auto"/>
        <w:bottom w:val="trees" w:sz="24" w:space="24" w:color="auto"/>
        <w:right w:val="tre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DD" w:rsidRDefault="009D76DD" w:rsidP="00885B00">
      <w:pPr>
        <w:spacing w:after="0" w:line="240" w:lineRule="auto"/>
      </w:pPr>
      <w:r>
        <w:separator/>
      </w:r>
    </w:p>
  </w:endnote>
  <w:endnote w:type="continuationSeparator" w:id="0">
    <w:p w:rsidR="009D76DD" w:rsidRDefault="009D76DD" w:rsidP="0088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DD" w:rsidRDefault="009D76DD" w:rsidP="00885B00">
      <w:pPr>
        <w:spacing w:after="0" w:line="240" w:lineRule="auto"/>
      </w:pPr>
      <w:r>
        <w:separator/>
      </w:r>
    </w:p>
  </w:footnote>
  <w:footnote w:type="continuationSeparator" w:id="0">
    <w:p w:rsidR="009D76DD" w:rsidRDefault="009D76DD" w:rsidP="00885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C20"/>
    <w:multiLevelType w:val="multilevel"/>
    <w:tmpl w:val="4FA0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D4FAE"/>
    <w:multiLevelType w:val="multilevel"/>
    <w:tmpl w:val="FE2E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8386E"/>
    <w:multiLevelType w:val="multilevel"/>
    <w:tmpl w:val="44DA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F5383"/>
    <w:multiLevelType w:val="hybridMultilevel"/>
    <w:tmpl w:val="75FE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84E83"/>
    <w:multiLevelType w:val="multilevel"/>
    <w:tmpl w:val="8806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7203D9"/>
    <w:multiLevelType w:val="multilevel"/>
    <w:tmpl w:val="8C4C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F5"/>
    <w:rsid w:val="00125997"/>
    <w:rsid w:val="001A2EF5"/>
    <w:rsid w:val="00354F29"/>
    <w:rsid w:val="00885B00"/>
    <w:rsid w:val="00923953"/>
    <w:rsid w:val="009D76DD"/>
    <w:rsid w:val="00C72682"/>
    <w:rsid w:val="00F23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EF5"/>
    <w:pPr>
      <w:ind w:left="720"/>
      <w:contextualSpacing/>
    </w:pPr>
  </w:style>
  <w:style w:type="paragraph" w:styleId="BalloonText">
    <w:name w:val="Balloon Text"/>
    <w:basedOn w:val="Normal"/>
    <w:link w:val="BalloonTextChar"/>
    <w:uiPriority w:val="99"/>
    <w:semiHidden/>
    <w:unhideWhenUsed/>
    <w:rsid w:val="00F2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1F"/>
    <w:rPr>
      <w:rFonts w:ascii="Tahoma" w:hAnsi="Tahoma" w:cs="Tahoma"/>
      <w:sz w:val="16"/>
      <w:szCs w:val="16"/>
    </w:rPr>
  </w:style>
  <w:style w:type="paragraph" w:styleId="Header">
    <w:name w:val="header"/>
    <w:basedOn w:val="Normal"/>
    <w:link w:val="HeaderChar"/>
    <w:uiPriority w:val="99"/>
    <w:unhideWhenUsed/>
    <w:rsid w:val="0088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00"/>
  </w:style>
  <w:style w:type="paragraph" w:styleId="Footer">
    <w:name w:val="footer"/>
    <w:basedOn w:val="Normal"/>
    <w:link w:val="FooterChar"/>
    <w:uiPriority w:val="99"/>
    <w:unhideWhenUsed/>
    <w:rsid w:val="0088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EF5"/>
    <w:pPr>
      <w:ind w:left="720"/>
      <w:contextualSpacing/>
    </w:pPr>
  </w:style>
  <w:style w:type="paragraph" w:styleId="BalloonText">
    <w:name w:val="Balloon Text"/>
    <w:basedOn w:val="Normal"/>
    <w:link w:val="BalloonTextChar"/>
    <w:uiPriority w:val="99"/>
    <w:semiHidden/>
    <w:unhideWhenUsed/>
    <w:rsid w:val="00F2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1F"/>
    <w:rPr>
      <w:rFonts w:ascii="Tahoma" w:hAnsi="Tahoma" w:cs="Tahoma"/>
      <w:sz w:val="16"/>
      <w:szCs w:val="16"/>
    </w:rPr>
  </w:style>
  <w:style w:type="paragraph" w:styleId="Header">
    <w:name w:val="header"/>
    <w:basedOn w:val="Normal"/>
    <w:link w:val="HeaderChar"/>
    <w:uiPriority w:val="99"/>
    <w:unhideWhenUsed/>
    <w:rsid w:val="0088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00"/>
  </w:style>
  <w:style w:type="paragraph" w:styleId="Footer">
    <w:name w:val="footer"/>
    <w:basedOn w:val="Normal"/>
    <w:link w:val="FooterChar"/>
    <w:uiPriority w:val="99"/>
    <w:unhideWhenUsed/>
    <w:rsid w:val="0088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1547">
      <w:bodyDiv w:val="1"/>
      <w:marLeft w:val="0"/>
      <w:marRight w:val="0"/>
      <w:marTop w:val="0"/>
      <w:marBottom w:val="0"/>
      <w:divBdr>
        <w:top w:val="none" w:sz="0" w:space="0" w:color="auto"/>
        <w:left w:val="none" w:sz="0" w:space="0" w:color="auto"/>
        <w:bottom w:val="none" w:sz="0" w:space="0" w:color="auto"/>
        <w:right w:val="none" w:sz="0" w:space="0" w:color="auto"/>
      </w:divBdr>
    </w:div>
    <w:div w:id="649939727">
      <w:bodyDiv w:val="1"/>
      <w:marLeft w:val="0"/>
      <w:marRight w:val="0"/>
      <w:marTop w:val="0"/>
      <w:marBottom w:val="0"/>
      <w:divBdr>
        <w:top w:val="none" w:sz="0" w:space="0" w:color="auto"/>
        <w:left w:val="none" w:sz="0" w:space="0" w:color="auto"/>
        <w:bottom w:val="none" w:sz="0" w:space="0" w:color="auto"/>
        <w:right w:val="none" w:sz="0" w:space="0" w:color="auto"/>
      </w:divBdr>
      <w:divsChild>
        <w:div w:id="329676987">
          <w:marLeft w:val="0"/>
          <w:marRight w:val="0"/>
          <w:marTop w:val="0"/>
          <w:marBottom w:val="0"/>
          <w:divBdr>
            <w:top w:val="none" w:sz="0" w:space="0" w:color="auto"/>
            <w:left w:val="none" w:sz="0" w:space="0" w:color="auto"/>
            <w:bottom w:val="none" w:sz="0" w:space="0" w:color="auto"/>
            <w:right w:val="none" w:sz="0" w:space="0" w:color="auto"/>
          </w:divBdr>
        </w:div>
        <w:div w:id="1406953006">
          <w:marLeft w:val="0"/>
          <w:marRight w:val="0"/>
          <w:marTop w:val="0"/>
          <w:marBottom w:val="0"/>
          <w:divBdr>
            <w:top w:val="none" w:sz="0" w:space="0" w:color="auto"/>
            <w:left w:val="none" w:sz="0" w:space="0" w:color="auto"/>
            <w:bottom w:val="none" w:sz="0" w:space="0" w:color="auto"/>
            <w:right w:val="none" w:sz="0" w:space="0" w:color="auto"/>
          </w:divBdr>
        </w:div>
      </w:divsChild>
    </w:div>
    <w:div w:id="695500081">
      <w:bodyDiv w:val="1"/>
      <w:marLeft w:val="0"/>
      <w:marRight w:val="0"/>
      <w:marTop w:val="0"/>
      <w:marBottom w:val="0"/>
      <w:divBdr>
        <w:top w:val="none" w:sz="0" w:space="0" w:color="auto"/>
        <w:left w:val="none" w:sz="0" w:space="0" w:color="auto"/>
        <w:bottom w:val="none" w:sz="0" w:space="0" w:color="auto"/>
        <w:right w:val="none" w:sz="0" w:space="0" w:color="auto"/>
      </w:divBdr>
    </w:div>
    <w:div w:id="16189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2020-06-01T20:29:00Z</dcterms:created>
  <dcterms:modified xsi:type="dcterms:W3CDTF">2020-06-01T21:46:00Z</dcterms:modified>
</cp:coreProperties>
</file>