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59" w:rsidRPr="00865B12" w:rsidRDefault="00207EA6" w:rsidP="00865B1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65B12">
        <w:rPr>
          <w:rFonts w:asciiTheme="majorBidi" w:hAnsiTheme="majorBidi" w:cstheme="majorBidi"/>
          <w:b/>
          <w:bCs/>
          <w:sz w:val="28"/>
          <w:szCs w:val="28"/>
        </w:rPr>
        <w:t>Kidney Function Tests</w:t>
      </w:r>
    </w:p>
    <w:p w:rsidR="00207EA6" w:rsidRPr="00865B12" w:rsidRDefault="00207EA6" w:rsidP="00865B1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65B12">
        <w:rPr>
          <w:rFonts w:asciiTheme="majorBidi" w:eastAsiaTheme="minorEastAsia" w:hAnsiTheme="majorBidi" w:cstheme="majorBidi"/>
          <w:b/>
          <w:bCs/>
          <w:kern w:val="24"/>
          <w:sz w:val="28"/>
          <w:szCs w:val="28"/>
          <w:lang w:bidi="ar-IQ"/>
        </w:rPr>
        <w:t>Renal Physiology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lang w:val="en-GB"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 xml:space="preserve">The nephron is the functional unit of the </w:t>
      </w:r>
      <w:proofErr w:type="gramStart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>kidney ,Each</w:t>
      </w:r>
      <w:proofErr w:type="gramEnd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 xml:space="preserve"> kidney contains about </w:t>
      </w: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1,000,000 to 1,300,000 </w:t>
      </w: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>nephrons.</w:t>
      </w:r>
      <w:r w:rsidR="00865B12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 xml:space="preserve"> </w:t>
      </w: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val="en-GB" w:bidi="ar-IQ"/>
        </w:rPr>
        <w:t xml:space="preserve">The nephron is composed of glomerulus and renal tubules. The nephron performs its homeostatic function by ultra filtration at glomerulus and secretion and reabsorption at renal tubules. </w:t>
      </w:r>
    </w:p>
    <w:p w:rsidR="00207EA6" w:rsidRPr="00865B12" w:rsidRDefault="00207EA6" w:rsidP="00865B12">
      <w:pPr>
        <w:jc w:val="right"/>
        <w:rPr>
          <w:rFonts w:asciiTheme="majorBidi" w:hAnsiTheme="majorBidi" w:cstheme="majorBidi" w:hint="cs"/>
          <w:sz w:val="28"/>
          <w:szCs w:val="28"/>
          <w:rtl/>
          <w:lang w:val="en-GB" w:bidi="ar-IQ"/>
        </w:rPr>
      </w:pP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2DF32C3" wp14:editId="17AB1CB0">
            <wp:extent cx="5274310" cy="3478969"/>
            <wp:effectExtent l="0" t="0" r="2540" b="7620"/>
            <wp:docPr id="3" name="Picture 2" descr="111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111.tif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EA6" w:rsidRPr="000D0703" w:rsidRDefault="00207EA6" w:rsidP="00865B12">
      <w:pPr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lang w:bidi="ar-IQ"/>
        </w:rPr>
      </w:pPr>
      <w:r w:rsidRPr="000D0703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bidi="ar-IQ"/>
        </w:rPr>
        <w:t>Each nephron is a complex apparatus comprised of five basic parts</w:t>
      </w:r>
      <w:r w:rsidRPr="000D0703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8"/>
          <w:szCs w:val="28"/>
          <w:lang w:val="x-none" w:bidi="ar-IQ"/>
        </w:rPr>
        <w:t>:</w:t>
      </w:r>
    </w:p>
    <w:p w:rsidR="000D0703" w:rsidRDefault="000D0703" w:rsidP="00865B12">
      <w:pPr>
        <w:jc w:val="right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1-Glomerulus</w:t>
      </w:r>
    </w:p>
    <w:p w:rsidR="00207EA6" w:rsidRPr="00865B12" w:rsidRDefault="00207EA6" w:rsidP="000D0703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 </w:t>
      </w:r>
      <w:proofErr w:type="gramStart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functions</w:t>
      </w:r>
      <w:proofErr w:type="gramEnd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 to filter incoming blood. Factors facilitate filtration:</w:t>
      </w:r>
    </w:p>
    <w:p w:rsidR="00207EA6" w:rsidRPr="00865B12" w:rsidRDefault="00207EA6" w:rsidP="000D0703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 </w:t>
      </w:r>
      <w:proofErr w:type="gramStart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-high pressure in the glomerular capillaries, which is a result of their position between two arterioles.</w:t>
      </w:r>
      <w:proofErr w:type="gramEnd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 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proofErr w:type="gramStart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-the semipermeable glomerular basement membrane, which has a molecular size cutoff value of approximately 66,000 Da.</w:t>
      </w:r>
      <w:proofErr w:type="gramEnd"/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 </w:t>
      </w:r>
    </w:p>
    <w:p w:rsidR="00207EA6" w:rsidRPr="00865B12" w:rsidRDefault="00207EA6" w:rsidP="00865B12">
      <w:pPr>
        <w:jc w:val="right"/>
        <w:rPr>
          <w:rFonts w:asciiTheme="majorBidi" w:eastAsiaTheme="minorEastAsia" w:hAnsiTheme="majorBidi" w:cstheme="majorBidi"/>
          <w:i/>
          <w:iCs/>
          <w:kern w:val="24"/>
          <w:sz w:val="28"/>
          <w:szCs w:val="28"/>
        </w:rPr>
      </w:pPr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</w:rPr>
        <w:lastRenderedPageBreak/>
        <w:t xml:space="preserve">*The volume of blood filtered per minute is the glomerular filtration rate (GFR), and its determination is essential in evaluating renal function </w:t>
      </w:r>
    </w:p>
    <w:p w:rsidR="00207EA6" w:rsidRPr="00865B12" w:rsidRDefault="000D0703" w:rsidP="00865B12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2-</w:t>
      </w:r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Proximal convoluted tubule: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-Returns the bulk of each valuable substance back to the blood circulation. 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-75% of the water, sodium, and chloride.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-100% of the glucose (up to the renal threshold)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-almost all of the amino acids, vitamins, and proteins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-varying amounts of urea, uric acid, and ions, such as magnesium, calcium and potassium. 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  <w:lang w:bidi="ar-IQ"/>
        </w:rPr>
        <w:t xml:space="preserve">*With the exception of water and chloride ions, the process is active; that is, the tubular epithelial cells use energy to bind and transport the substances across the plasma membrane to the blood. </w:t>
      </w:r>
    </w:p>
    <w:p w:rsidR="00207EA6" w:rsidRPr="00865B12" w:rsidRDefault="00207EA6" w:rsidP="00865B12">
      <w:pPr>
        <w:jc w:val="right"/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</w:rPr>
        <w:t>-Secretes products of kidney tubular cell metabolism, such as hydrogen ions, and drugs, such as penicillin.</w:t>
      </w:r>
    </w:p>
    <w:p w:rsidR="00207EA6" w:rsidRPr="00865B12" w:rsidRDefault="000D0703" w:rsidP="00865B1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3-</w:t>
      </w:r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Loop of </w:t>
      </w:r>
      <w:proofErr w:type="spellStart"/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Henle</w:t>
      </w:r>
      <w:proofErr w:type="spellEnd"/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: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-Facilitates the reabsorption of water, sodium, and chloride. </w:t>
      </w:r>
    </w:p>
    <w:p w:rsidR="00207EA6" w:rsidRPr="00865B12" w:rsidRDefault="00207EA6" w:rsidP="000D070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  <w:lang w:bidi="ar-IQ"/>
        </w:rPr>
        <w:t xml:space="preserve">*The osmolality in the medulla in this portion of the nephron increases steadily from the </w:t>
      </w:r>
      <w:proofErr w:type="spellStart"/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  <w:lang w:bidi="ar-IQ"/>
        </w:rPr>
        <w:t>corticomedullary</w:t>
      </w:r>
      <w:proofErr w:type="spellEnd"/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  <w:lang w:bidi="ar-IQ"/>
        </w:rPr>
        <w:t xml:space="preserve"> junction inward </w:t>
      </w:r>
    </w:p>
    <w:p w:rsidR="00207EA6" w:rsidRPr="00865B12" w:rsidRDefault="000D0703" w:rsidP="00865B12">
      <w:pPr>
        <w:jc w:val="right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4-</w:t>
      </w:r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Distal convoluted tubule: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-The filtrate entering this section of the nephron is close to its final composition.</w:t>
      </w:r>
    </w:p>
    <w:p w:rsidR="00207EA6" w:rsidRPr="00865B12" w:rsidRDefault="00207EA6" w:rsidP="00865B12">
      <w:pPr>
        <w:jc w:val="right"/>
        <w:rPr>
          <w:rFonts w:asciiTheme="majorBidi" w:eastAsia="Times New Roman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 xml:space="preserve">-Effects small adjustments to achieve electrolyte and acid-base homeostasis (under the hormonal control of both antidiuretic hormone (ADH) and aldosterone). </w:t>
      </w:r>
    </w:p>
    <w:p w:rsidR="00207EA6" w:rsidRPr="00865B12" w:rsidRDefault="00207EA6" w:rsidP="00865B12">
      <w:pPr>
        <w:jc w:val="right"/>
        <w:rPr>
          <w:rFonts w:asciiTheme="majorBidi" w:eastAsiaTheme="minorEastAsia" w:hAnsiTheme="majorBidi" w:cstheme="majorBidi"/>
          <w:i/>
          <w:iCs/>
          <w:kern w:val="24"/>
          <w:sz w:val="28"/>
          <w:szCs w:val="28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*</w:t>
      </w:r>
      <w:r w:rsidRPr="00865B12">
        <w:rPr>
          <w:rFonts w:asciiTheme="majorBidi" w:eastAsiaTheme="minorEastAsia" w:hAnsiTheme="majorBidi" w:cstheme="majorBidi"/>
          <w:i/>
          <w:iCs/>
          <w:kern w:val="24"/>
          <w:sz w:val="28"/>
          <w:szCs w:val="28"/>
        </w:rPr>
        <w:t>The distal convoluted tubule is much shorter than the proximal tubule, with two or three coils that connect to a collecting duct</w:t>
      </w:r>
    </w:p>
    <w:p w:rsidR="00207EA6" w:rsidRPr="00865B12" w:rsidRDefault="000D0703" w:rsidP="00865B1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5-</w:t>
      </w:r>
      <w:r w:rsidR="00207EA6"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Collecting duct: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lastRenderedPageBreak/>
        <w:t xml:space="preserve"> 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-The collecting ducts are the final site for either concentrating or diluting urine.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-The hormones ADH and aldosterone act on this segment of the nephron to control reabsorption of water and sodium.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65B12">
        <w:rPr>
          <w:rFonts w:asciiTheme="majorBidi" w:eastAsiaTheme="minorEastAsia" w:hAnsiTheme="majorBidi" w:cstheme="majorBidi"/>
          <w:color w:val="000000" w:themeColor="text1"/>
          <w:kern w:val="24"/>
          <w:sz w:val="28"/>
          <w:szCs w:val="28"/>
          <w:lang w:bidi="ar-IQ"/>
        </w:rPr>
        <w:t>-Chloride and urea are also reabsorbed here.</w:t>
      </w:r>
    </w:p>
    <w:p w:rsidR="00207EA6" w:rsidRPr="000D0703" w:rsidRDefault="00207EA6" w:rsidP="000D07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D0703">
        <w:rPr>
          <w:rFonts w:asciiTheme="majorBidi" w:hAnsiTheme="majorBidi" w:cstheme="majorBidi"/>
          <w:b/>
          <w:bCs/>
          <w:sz w:val="28"/>
          <w:szCs w:val="28"/>
        </w:rPr>
        <w:t>Renal Function</w:t>
      </w:r>
    </w:p>
    <w:p w:rsidR="00207EA6" w:rsidRPr="00865B12" w:rsidRDefault="0056084B" w:rsidP="000D0703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1-</w:t>
      </w:r>
      <w:r w:rsidR="00207EA6" w:rsidRPr="00865B12">
        <w:rPr>
          <w:rFonts w:asciiTheme="majorBidi" w:hAnsiTheme="majorBidi" w:cstheme="majorBidi"/>
          <w:sz w:val="28"/>
          <w:szCs w:val="28"/>
        </w:rPr>
        <w:t>Excretory Functions</w:t>
      </w:r>
      <w:r w:rsidR="000D070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D0703">
        <w:rPr>
          <w:rFonts w:asciiTheme="majorBidi" w:hAnsiTheme="majorBidi" w:cstheme="majorBidi"/>
          <w:sz w:val="28"/>
          <w:szCs w:val="28"/>
        </w:rPr>
        <w:t>include :</w:t>
      </w:r>
      <w:proofErr w:type="gramEnd"/>
      <w:r w:rsidR="000D0703">
        <w:rPr>
          <w:rFonts w:asciiTheme="majorBidi" w:hAnsiTheme="majorBidi" w:cstheme="majorBidi"/>
          <w:sz w:val="28"/>
          <w:szCs w:val="28"/>
        </w:rPr>
        <w:t xml:space="preserve"> </w:t>
      </w:r>
      <w:r w:rsidR="00207EA6" w:rsidRPr="00865B12">
        <w:rPr>
          <w:rFonts w:asciiTheme="majorBidi" w:hAnsiTheme="majorBidi" w:cstheme="majorBidi"/>
          <w:sz w:val="28"/>
          <w:szCs w:val="28"/>
        </w:rPr>
        <w:t>F</w:t>
      </w:r>
      <w:r w:rsidR="000D0703">
        <w:rPr>
          <w:rFonts w:asciiTheme="majorBidi" w:hAnsiTheme="majorBidi" w:cstheme="majorBidi"/>
          <w:sz w:val="28"/>
          <w:szCs w:val="28"/>
        </w:rPr>
        <w:t xml:space="preserve">ormation and excretion of </w:t>
      </w:r>
      <w:proofErr w:type="spellStart"/>
      <w:r w:rsidR="000D0703">
        <w:rPr>
          <w:rFonts w:asciiTheme="majorBidi" w:hAnsiTheme="majorBidi" w:cstheme="majorBidi"/>
          <w:sz w:val="28"/>
          <w:szCs w:val="28"/>
        </w:rPr>
        <w:t>urine,Glomerular</w:t>
      </w:r>
      <w:proofErr w:type="spellEnd"/>
      <w:r w:rsidR="000D0703">
        <w:rPr>
          <w:rFonts w:asciiTheme="majorBidi" w:hAnsiTheme="majorBidi" w:cstheme="majorBidi"/>
          <w:sz w:val="28"/>
          <w:szCs w:val="28"/>
        </w:rPr>
        <w:t xml:space="preserve"> filtration ,Tubular reabsorption ,Tubular secretion and </w:t>
      </w:r>
      <w:r w:rsidR="00207EA6" w:rsidRPr="00865B12">
        <w:rPr>
          <w:rFonts w:asciiTheme="majorBidi" w:hAnsiTheme="majorBidi" w:cstheme="majorBidi"/>
          <w:sz w:val="28"/>
          <w:szCs w:val="28"/>
        </w:rPr>
        <w:t>Excreting toxic substances in synergy with liver</w:t>
      </w:r>
    </w:p>
    <w:p w:rsidR="00207EA6" w:rsidRPr="00865B12" w:rsidRDefault="0056084B" w:rsidP="000D0703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2-</w:t>
      </w:r>
      <w:r w:rsidR="00207EA6" w:rsidRPr="00865B12">
        <w:rPr>
          <w:rFonts w:asciiTheme="majorBidi" w:hAnsiTheme="majorBidi" w:cstheme="majorBidi"/>
          <w:sz w:val="28"/>
          <w:szCs w:val="28"/>
        </w:rPr>
        <w:t>Homeostatic function</w:t>
      </w:r>
      <w:r w:rsidR="000D070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D0703">
        <w:rPr>
          <w:rFonts w:asciiTheme="majorBidi" w:hAnsiTheme="majorBidi" w:cstheme="majorBidi"/>
          <w:sz w:val="28"/>
          <w:szCs w:val="28"/>
        </w:rPr>
        <w:t>include :</w:t>
      </w:r>
      <w:proofErr w:type="gramEnd"/>
      <w:r w:rsidR="000D0703">
        <w:rPr>
          <w:rFonts w:asciiTheme="majorBidi" w:hAnsiTheme="majorBidi" w:cstheme="majorBidi"/>
          <w:sz w:val="28"/>
          <w:szCs w:val="28"/>
        </w:rPr>
        <w:t xml:space="preserve"> Regulation of blood volume ,Regulation of blood pH ,</w:t>
      </w:r>
      <w:r w:rsidR="00207EA6" w:rsidRPr="00865B12">
        <w:rPr>
          <w:rFonts w:asciiTheme="majorBidi" w:hAnsiTheme="majorBidi" w:cstheme="majorBidi"/>
          <w:sz w:val="28"/>
          <w:szCs w:val="28"/>
        </w:rPr>
        <w:t>Regulation of serum</w:t>
      </w:r>
      <w:r w:rsidR="000D0703">
        <w:rPr>
          <w:rFonts w:asciiTheme="majorBidi" w:hAnsiTheme="majorBidi" w:cstheme="majorBidi"/>
          <w:sz w:val="28"/>
          <w:szCs w:val="28"/>
        </w:rPr>
        <w:t xml:space="preserve"> electrolytes; Na, K, </w:t>
      </w:r>
      <w:proofErr w:type="spellStart"/>
      <w:r w:rsidR="000D0703">
        <w:rPr>
          <w:rFonts w:asciiTheme="majorBidi" w:hAnsiTheme="majorBidi" w:cstheme="majorBidi"/>
          <w:sz w:val="28"/>
          <w:szCs w:val="28"/>
        </w:rPr>
        <w:t>Cl</w:t>
      </w:r>
      <w:proofErr w:type="spellEnd"/>
      <w:r w:rsidR="000D070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0D0703">
        <w:rPr>
          <w:rFonts w:asciiTheme="majorBidi" w:hAnsiTheme="majorBidi" w:cstheme="majorBidi"/>
          <w:sz w:val="28"/>
          <w:szCs w:val="28"/>
        </w:rPr>
        <w:t>Ca</w:t>
      </w:r>
      <w:proofErr w:type="spellEnd"/>
      <w:r w:rsidR="000D0703">
        <w:rPr>
          <w:rFonts w:asciiTheme="majorBidi" w:hAnsiTheme="majorBidi" w:cstheme="majorBidi"/>
          <w:sz w:val="28"/>
          <w:szCs w:val="28"/>
        </w:rPr>
        <w:t xml:space="preserve"> and </w:t>
      </w:r>
      <w:r w:rsidR="00207EA6" w:rsidRPr="00865B12">
        <w:rPr>
          <w:rFonts w:asciiTheme="majorBidi" w:hAnsiTheme="majorBidi" w:cstheme="majorBidi"/>
          <w:sz w:val="28"/>
          <w:szCs w:val="28"/>
        </w:rPr>
        <w:t>Reabsorption of essential nutrients</w:t>
      </w:r>
    </w:p>
    <w:p w:rsidR="0056084B" w:rsidRPr="00865B12" w:rsidRDefault="0056084B" w:rsidP="00017908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3-Endocrine function</w:t>
      </w:r>
      <w:r w:rsidR="0001790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17908">
        <w:rPr>
          <w:rFonts w:asciiTheme="majorBidi" w:hAnsiTheme="majorBidi" w:cstheme="majorBidi"/>
          <w:sz w:val="28"/>
          <w:szCs w:val="28"/>
        </w:rPr>
        <w:t>include :</w:t>
      </w:r>
      <w:r w:rsidRPr="00865B12">
        <w:rPr>
          <w:rFonts w:asciiTheme="majorBidi" w:hAnsiTheme="majorBidi" w:cstheme="majorBidi"/>
          <w:sz w:val="28"/>
          <w:szCs w:val="28"/>
        </w:rPr>
        <w:t>Erythropoietin</w:t>
      </w:r>
      <w:proofErr w:type="gramEnd"/>
      <w:r w:rsidR="00017908">
        <w:rPr>
          <w:rFonts w:asciiTheme="majorBidi" w:hAnsiTheme="majorBidi" w:cstheme="majorBidi"/>
          <w:sz w:val="28"/>
          <w:szCs w:val="28"/>
        </w:rPr>
        <w:t xml:space="preserve"> ,</w:t>
      </w:r>
      <w:r w:rsidRPr="00865B12">
        <w:rPr>
          <w:rFonts w:asciiTheme="majorBidi" w:hAnsiTheme="majorBidi" w:cstheme="majorBidi"/>
          <w:sz w:val="28"/>
          <w:szCs w:val="28"/>
        </w:rPr>
        <w:t>Renin Angiotensin system</w:t>
      </w:r>
      <w:r w:rsidR="00017908">
        <w:rPr>
          <w:rFonts w:asciiTheme="majorBidi" w:hAnsiTheme="majorBidi" w:cstheme="majorBidi"/>
          <w:sz w:val="28"/>
          <w:szCs w:val="28"/>
        </w:rPr>
        <w:t xml:space="preserve"> ,</w:t>
      </w:r>
      <w:r w:rsidRPr="00865B12">
        <w:rPr>
          <w:rFonts w:asciiTheme="majorBidi" w:hAnsiTheme="majorBidi" w:cstheme="majorBidi"/>
          <w:sz w:val="28"/>
          <w:szCs w:val="28"/>
        </w:rPr>
        <w:t>Vitamin D activation</w:t>
      </w:r>
      <w:r w:rsidR="00017908">
        <w:rPr>
          <w:rFonts w:asciiTheme="majorBidi" w:hAnsiTheme="majorBidi" w:cstheme="majorBidi"/>
          <w:sz w:val="28"/>
          <w:szCs w:val="28"/>
        </w:rPr>
        <w:t xml:space="preserve"> and </w:t>
      </w:r>
      <w:r w:rsidRPr="00865B12">
        <w:rPr>
          <w:rFonts w:asciiTheme="majorBidi" w:hAnsiTheme="majorBidi" w:cstheme="majorBidi"/>
          <w:sz w:val="28"/>
          <w:szCs w:val="28"/>
        </w:rPr>
        <w:t>Degradation of hormones like insulin and aldosterone</w:t>
      </w:r>
    </w:p>
    <w:p w:rsidR="0056084B" w:rsidRPr="00865B12" w:rsidRDefault="0056084B" w:rsidP="00017908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4-Metabolic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function</w:t>
      </w:r>
      <w:r w:rsidR="00017908">
        <w:rPr>
          <w:rFonts w:asciiTheme="majorBidi" w:hAnsiTheme="majorBidi" w:cstheme="majorBidi"/>
          <w:sz w:val="28"/>
          <w:szCs w:val="28"/>
        </w:rPr>
        <w:t xml:space="preserve">  :</w:t>
      </w:r>
      <w:r w:rsidRPr="00865B12">
        <w:rPr>
          <w:rFonts w:asciiTheme="majorBidi" w:hAnsiTheme="majorBidi" w:cstheme="majorBidi"/>
          <w:sz w:val="28"/>
          <w:szCs w:val="28"/>
        </w:rPr>
        <w:t>Along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with liver site for gluconeogenesis</w:t>
      </w:r>
    </w:p>
    <w:p w:rsidR="0056084B" w:rsidRPr="00865B12" w:rsidRDefault="0056084B" w:rsidP="00865B1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6084B" w:rsidRPr="00017908" w:rsidRDefault="0056084B" w:rsidP="000179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7908">
        <w:rPr>
          <w:rFonts w:asciiTheme="majorBidi" w:hAnsiTheme="majorBidi" w:cstheme="majorBidi"/>
          <w:b/>
          <w:bCs/>
          <w:sz w:val="28"/>
          <w:szCs w:val="28"/>
        </w:rPr>
        <w:t xml:space="preserve">Renal function tests; </w:t>
      </w:r>
      <w:proofErr w:type="gramStart"/>
      <w:r w:rsidRPr="00017908">
        <w:rPr>
          <w:rFonts w:asciiTheme="majorBidi" w:hAnsiTheme="majorBidi" w:cstheme="majorBidi"/>
          <w:b/>
          <w:bCs/>
          <w:sz w:val="28"/>
          <w:szCs w:val="28"/>
        </w:rPr>
        <w:t>Why</w:t>
      </w:r>
      <w:proofErr w:type="gramEnd"/>
      <w:r w:rsidRPr="00017908">
        <w:rPr>
          <w:rFonts w:asciiTheme="majorBidi" w:hAnsiTheme="majorBidi" w:cstheme="majorBidi"/>
          <w:b/>
          <w:bCs/>
          <w:sz w:val="28"/>
          <w:szCs w:val="28"/>
        </w:rPr>
        <w:t xml:space="preserve"> needed?</w:t>
      </w:r>
    </w:p>
    <w:p w:rsidR="0056084B" w:rsidRPr="00865B12" w:rsidRDefault="00017908" w:rsidP="00865B1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56084B" w:rsidRPr="00865B12">
        <w:rPr>
          <w:rFonts w:asciiTheme="majorBidi" w:hAnsiTheme="majorBidi" w:cstheme="majorBidi"/>
          <w:sz w:val="28"/>
          <w:szCs w:val="28"/>
        </w:rPr>
        <w:t>To assess functional capacity of kidneys</w:t>
      </w:r>
    </w:p>
    <w:p w:rsidR="0056084B" w:rsidRPr="00865B12" w:rsidRDefault="00017908" w:rsidP="00865B1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56084B" w:rsidRPr="00865B12">
        <w:rPr>
          <w:rFonts w:asciiTheme="majorBidi" w:hAnsiTheme="majorBidi" w:cstheme="majorBidi"/>
          <w:sz w:val="28"/>
          <w:szCs w:val="28"/>
        </w:rPr>
        <w:t>To diagnose renal impairment</w:t>
      </w:r>
    </w:p>
    <w:p w:rsidR="0056084B" w:rsidRPr="00865B12" w:rsidRDefault="00017908" w:rsidP="00865B1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56084B" w:rsidRPr="00865B12">
        <w:rPr>
          <w:rFonts w:asciiTheme="majorBidi" w:hAnsiTheme="majorBidi" w:cstheme="majorBidi"/>
          <w:sz w:val="28"/>
          <w:szCs w:val="28"/>
        </w:rPr>
        <w:t>To assess the severity and progression of renal impairment</w:t>
      </w:r>
    </w:p>
    <w:p w:rsidR="0056084B" w:rsidRPr="00865B12" w:rsidRDefault="00017908" w:rsidP="00865B12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56084B" w:rsidRPr="00865B12">
        <w:rPr>
          <w:rFonts w:asciiTheme="majorBidi" w:hAnsiTheme="majorBidi" w:cstheme="majorBidi"/>
          <w:sz w:val="28"/>
          <w:szCs w:val="28"/>
        </w:rPr>
        <w:t>To assess the effectiveness of treatment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56084B" w:rsidRPr="00017908" w:rsidRDefault="0056084B" w:rsidP="000179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7908">
        <w:rPr>
          <w:rFonts w:asciiTheme="majorBidi" w:hAnsiTheme="majorBidi" w:cstheme="majorBidi"/>
          <w:b/>
          <w:bCs/>
          <w:sz w:val="28"/>
          <w:szCs w:val="28"/>
        </w:rPr>
        <w:t>Causes of renal disease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1-Pre-renal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•Any condition that results in reduced blood flow to kidneys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lastRenderedPageBreak/>
        <w:t>•Severe blood loss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•Hemolysis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2-Renal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•Damage to renal tissue, glomerular basement membrane or tubules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•Glomerulonephritis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•Diabetic or hypertensive nephropathy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•Tubular damage due to toxic substances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3-Post Renal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•Obstruction to urine outflow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•Ureteric or urethral stone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•Prostatic cancer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084B" w:rsidRPr="00017908" w:rsidRDefault="0056084B" w:rsidP="0001790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7908">
        <w:rPr>
          <w:rFonts w:asciiTheme="majorBidi" w:hAnsiTheme="majorBidi" w:cstheme="majorBidi"/>
          <w:b/>
          <w:bCs/>
          <w:sz w:val="28"/>
          <w:szCs w:val="28"/>
        </w:rPr>
        <w:t>Renal function test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Can be divided into two categories</w:t>
      </w:r>
    </w:p>
    <w:p w:rsidR="0056084B" w:rsidRPr="00865B12" w:rsidRDefault="0056084B" w:rsidP="00017908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1-Test for glomerular function</w:t>
      </w:r>
      <w:r w:rsidR="00017908">
        <w:rPr>
          <w:rFonts w:asciiTheme="majorBidi" w:hAnsiTheme="majorBidi" w:cstheme="majorBidi"/>
          <w:sz w:val="28"/>
          <w:szCs w:val="28"/>
        </w:rPr>
        <w:t xml:space="preserve"> include </w:t>
      </w:r>
      <w:r w:rsidRPr="00865B12">
        <w:rPr>
          <w:rFonts w:asciiTheme="majorBidi" w:hAnsiTheme="majorBidi" w:cstheme="majorBidi"/>
          <w:sz w:val="28"/>
          <w:szCs w:val="28"/>
        </w:rPr>
        <w:t xml:space="preserve">Serum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Urea</w:t>
      </w:r>
      <w:r w:rsidR="00017908">
        <w:rPr>
          <w:rFonts w:asciiTheme="majorBidi" w:hAnsiTheme="majorBidi" w:cstheme="majorBidi"/>
          <w:sz w:val="28"/>
          <w:szCs w:val="28"/>
        </w:rPr>
        <w:t xml:space="preserve"> ,</w:t>
      </w:r>
      <w:r w:rsidRPr="00865B12">
        <w:rPr>
          <w:rFonts w:asciiTheme="majorBidi" w:hAnsiTheme="majorBidi" w:cstheme="majorBidi"/>
          <w:sz w:val="28"/>
          <w:szCs w:val="28"/>
        </w:rPr>
        <w:t>Serum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="00017908">
        <w:rPr>
          <w:rFonts w:asciiTheme="majorBidi" w:hAnsiTheme="majorBidi" w:cstheme="majorBidi"/>
          <w:sz w:val="28"/>
          <w:szCs w:val="28"/>
        </w:rPr>
        <w:t xml:space="preserve"> and </w:t>
      </w:r>
      <w:r w:rsidRPr="00865B12">
        <w:rPr>
          <w:rFonts w:asciiTheme="majorBidi" w:hAnsiTheme="majorBidi" w:cstheme="majorBidi"/>
          <w:sz w:val="28"/>
          <w:szCs w:val="28"/>
        </w:rPr>
        <w:t>Clearance tests</w:t>
      </w:r>
    </w:p>
    <w:p w:rsidR="0056084B" w:rsidRPr="00865B12" w:rsidRDefault="0056084B" w:rsidP="00017908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2-Tests for tubular function</w:t>
      </w:r>
      <w:r w:rsidR="00017908">
        <w:rPr>
          <w:rFonts w:asciiTheme="majorBidi" w:hAnsiTheme="majorBidi" w:cstheme="majorBidi"/>
          <w:sz w:val="28"/>
          <w:szCs w:val="28"/>
        </w:rPr>
        <w:t xml:space="preserve"> include </w:t>
      </w:r>
      <w:r w:rsidRPr="00865B12">
        <w:rPr>
          <w:rFonts w:asciiTheme="majorBidi" w:hAnsiTheme="majorBidi" w:cstheme="majorBidi"/>
          <w:sz w:val="28"/>
          <w:szCs w:val="28"/>
        </w:rPr>
        <w:t xml:space="preserve">Urine concentration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test</w:t>
      </w:r>
      <w:r w:rsidR="00017908">
        <w:rPr>
          <w:rFonts w:asciiTheme="majorBidi" w:hAnsiTheme="majorBidi" w:cstheme="majorBidi"/>
          <w:sz w:val="28"/>
          <w:szCs w:val="28"/>
        </w:rPr>
        <w:t xml:space="preserve"> ,</w:t>
      </w:r>
      <w:r w:rsidRPr="00865B12">
        <w:rPr>
          <w:rFonts w:asciiTheme="majorBidi" w:hAnsiTheme="majorBidi" w:cstheme="majorBidi"/>
          <w:sz w:val="28"/>
          <w:szCs w:val="28"/>
        </w:rPr>
        <w:t>Dilution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test</w:t>
      </w:r>
      <w:r w:rsidR="00017908">
        <w:rPr>
          <w:rFonts w:asciiTheme="majorBidi" w:hAnsiTheme="majorBidi" w:cstheme="majorBidi"/>
          <w:sz w:val="28"/>
          <w:szCs w:val="28"/>
        </w:rPr>
        <w:t xml:space="preserve"> ,</w:t>
      </w:r>
      <w:r w:rsidRPr="00865B12">
        <w:rPr>
          <w:rFonts w:asciiTheme="majorBidi" w:hAnsiTheme="majorBidi" w:cstheme="majorBidi"/>
          <w:sz w:val="28"/>
          <w:szCs w:val="28"/>
        </w:rPr>
        <w:t xml:space="preserve">Para amino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hippuric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acid clearance test</w:t>
      </w:r>
      <w:r w:rsidR="00017908">
        <w:rPr>
          <w:rFonts w:asciiTheme="majorBidi" w:hAnsiTheme="majorBidi" w:cstheme="majorBidi"/>
          <w:sz w:val="28"/>
          <w:szCs w:val="28"/>
        </w:rPr>
        <w:t xml:space="preserve"> and </w:t>
      </w:r>
      <w:r w:rsidRPr="00865B12">
        <w:rPr>
          <w:rFonts w:asciiTheme="majorBidi" w:hAnsiTheme="majorBidi" w:cstheme="majorBidi"/>
          <w:sz w:val="28"/>
          <w:szCs w:val="28"/>
        </w:rPr>
        <w:t>Acidification test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*Urine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examination :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>-Important for assessing both glomerular and tubular function</w:t>
      </w:r>
    </w:p>
    <w:p w:rsidR="0056084B" w:rsidRPr="00865B12" w:rsidRDefault="00017908" w:rsidP="0001790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="0056084B" w:rsidRPr="00865B12">
        <w:rPr>
          <w:rFonts w:asciiTheme="majorBidi" w:hAnsiTheme="majorBidi" w:cstheme="majorBidi"/>
          <w:sz w:val="28"/>
          <w:szCs w:val="28"/>
        </w:rPr>
        <w:t>The following parameters are commo</w:t>
      </w:r>
      <w:r>
        <w:rPr>
          <w:rFonts w:asciiTheme="majorBidi" w:hAnsiTheme="majorBidi" w:cstheme="majorBidi"/>
          <w:sz w:val="28"/>
          <w:szCs w:val="28"/>
        </w:rPr>
        <w:t>nly included in assessing renal function  include Serum Urea ,</w:t>
      </w:r>
      <w:r w:rsidR="0056084B" w:rsidRPr="00865B12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erum </w:t>
      </w:r>
      <w:proofErr w:type="spellStart"/>
      <w:r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,</w:t>
      </w:r>
      <w:r w:rsidR="0056084B" w:rsidRPr="00865B12">
        <w:rPr>
          <w:rFonts w:asciiTheme="majorBidi" w:hAnsiTheme="majorBidi" w:cstheme="majorBidi"/>
          <w:sz w:val="28"/>
          <w:szCs w:val="28"/>
        </w:rPr>
        <w:t xml:space="preserve">Serum </w:t>
      </w:r>
      <w:r>
        <w:rPr>
          <w:rFonts w:asciiTheme="majorBidi" w:hAnsiTheme="majorBidi" w:cstheme="majorBidi"/>
          <w:sz w:val="28"/>
          <w:szCs w:val="28"/>
        </w:rPr>
        <w:t xml:space="preserve">Uric acid </w: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Total protein </w:t>
      </w:r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Serum albumin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="0056084B" w:rsidRPr="00865B12">
        <w:rPr>
          <w:rFonts w:asciiTheme="majorBidi" w:hAnsiTheme="majorBidi" w:cstheme="majorBidi"/>
          <w:sz w:val="28"/>
          <w:szCs w:val="28"/>
        </w:rPr>
        <w:t>Serum electrolytes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Renal Function Tests</w:t>
      </w:r>
      <w:r w:rsidR="00017908">
        <w:rPr>
          <w:rFonts w:asciiTheme="majorBidi" w:hAnsiTheme="majorBidi" w:cstheme="majorBidi"/>
          <w:sz w:val="28"/>
          <w:szCs w:val="28"/>
        </w:rPr>
        <w:t xml:space="preserve"> include </w:t>
      </w:r>
    </w:p>
    <w:p w:rsidR="0056084B" w:rsidRPr="00865B12" w:rsidRDefault="0056084B" w:rsidP="0063015B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1-Complete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hemogram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</w:t>
      </w:r>
      <w:r w:rsidR="00017908">
        <w:rPr>
          <w:rFonts w:asciiTheme="majorBidi" w:hAnsiTheme="majorBidi" w:cstheme="majorBidi"/>
          <w:sz w:val="28"/>
          <w:szCs w:val="28"/>
        </w:rPr>
        <w:t xml:space="preserve">like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Hemoglobin</w:t>
      </w:r>
      <w:r w:rsidR="0063015B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63015B">
        <w:rPr>
          <w:rFonts w:asciiTheme="majorBidi" w:hAnsiTheme="majorBidi" w:cstheme="majorBidi"/>
          <w:sz w:val="28"/>
          <w:szCs w:val="28"/>
        </w:rPr>
        <w:t xml:space="preserve"> </w:t>
      </w:r>
      <w:r w:rsidRPr="00865B12">
        <w:rPr>
          <w:rFonts w:asciiTheme="majorBidi" w:hAnsiTheme="majorBidi" w:cstheme="majorBidi"/>
          <w:sz w:val="28"/>
          <w:szCs w:val="28"/>
        </w:rPr>
        <w:t xml:space="preserve"> RBC</w:t>
      </w:r>
      <w:r w:rsidR="0063015B">
        <w:rPr>
          <w:rFonts w:asciiTheme="majorBidi" w:hAnsiTheme="majorBidi" w:cstheme="majorBidi"/>
          <w:sz w:val="28"/>
          <w:szCs w:val="28"/>
        </w:rPr>
        <w:t xml:space="preserve"> and </w:t>
      </w:r>
      <w:r w:rsidRPr="00865B12">
        <w:rPr>
          <w:rFonts w:asciiTheme="majorBidi" w:hAnsiTheme="majorBidi" w:cstheme="majorBidi"/>
          <w:sz w:val="28"/>
          <w:szCs w:val="28"/>
        </w:rPr>
        <w:t>ESR</w:t>
      </w:r>
    </w:p>
    <w:p w:rsidR="0056084B" w:rsidRPr="00865B12" w:rsidRDefault="0056084B" w:rsidP="0063015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65B12">
        <w:rPr>
          <w:rFonts w:asciiTheme="majorBidi" w:hAnsiTheme="majorBidi" w:cstheme="majorBidi"/>
          <w:sz w:val="28"/>
          <w:szCs w:val="28"/>
        </w:rPr>
        <w:lastRenderedPageBreak/>
        <w:t>2-Routine urine examination</w:t>
      </w:r>
      <w:r w:rsidR="0063015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3015B">
        <w:rPr>
          <w:rFonts w:asciiTheme="majorBidi" w:hAnsiTheme="majorBidi" w:cstheme="majorBidi"/>
          <w:sz w:val="28"/>
          <w:szCs w:val="28"/>
        </w:rPr>
        <w:t xml:space="preserve">like  </w:t>
      </w:r>
      <w:r w:rsidRPr="00865B12">
        <w:rPr>
          <w:rFonts w:asciiTheme="majorBidi" w:hAnsiTheme="majorBidi" w:cstheme="majorBidi"/>
          <w:sz w:val="28"/>
          <w:szCs w:val="28"/>
        </w:rPr>
        <w:t>Physical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appearance</w:t>
      </w:r>
      <w:r w:rsidR="0063015B">
        <w:rPr>
          <w:rFonts w:asciiTheme="majorBidi" w:hAnsiTheme="majorBidi" w:cstheme="majorBidi"/>
          <w:sz w:val="28"/>
          <w:szCs w:val="28"/>
        </w:rPr>
        <w:t xml:space="preserve"> ,</w:t>
      </w:r>
      <w:r w:rsidR="0063015B" w:rsidRPr="00865B12">
        <w:rPr>
          <w:rFonts w:asciiTheme="majorBidi" w:hAnsiTheme="majorBidi" w:cstheme="majorBidi"/>
          <w:sz w:val="28"/>
          <w:szCs w:val="28"/>
        </w:rPr>
        <w:t>Color</w:t>
      </w:r>
      <w:r w:rsidR="0063015B">
        <w:rPr>
          <w:rFonts w:asciiTheme="majorBidi" w:hAnsiTheme="majorBidi" w:cstheme="majorBidi"/>
          <w:sz w:val="28"/>
          <w:szCs w:val="28"/>
        </w:rPr>
        <w:t xml:space="preserve"> and </w:t>
      </w:r>
      <w:r w:rsidRPr="00865B12">
        <w:rPr>
          <w:rFonts w:asciiTheme="majorBidi" w:hAnsiTheme="majorBidi" w:cstheme="majorBidi"/>
          <w:sz w:val="28"/>
          <w:szCs w:val="28"/>
        </w:rPr>
        <w:t>pH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3-Clearance test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•Clearance of substance is defined as the volume of plasma that is cleared of that substance in unit time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•Inulin clearance accurately measures GFR as it is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neither secreted or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absorbed by the renal tubules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•However it is not routinely done in patients.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•In clinical setting estimated GFR (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eGFR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) is more commonly used; it is calculated from serum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value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4-Estimated GFR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•The Cockcroft-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Gault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formula for estimating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clearance (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CrCl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>) is routinely as a simple means to provide a reliable approximation of residual renal function in all patients with CKD. The formulas are as follows: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</w:t>
      </w:r>
      <w:proofErr w:type="spellStart"/>
      <w:proofErr w:type="gramStart"/>
      <w:r w:rsidRPr="00865B12">
        <w:rPr>
          <w:rFonts w:asciiTheme="majorBidi" w:hAnsiTheme="majorBidi" w:cstheme="majorBidi"/>
          <w:sz w:val="28"/>
          <w:szCs w:val="28"/>
        </w:rPr>
        <w:t>CrCl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male) = ([140-age] ×weight in kg)/(serum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×72)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•However this has been extensively modified and there are online calculators of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eGFR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from serum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and body weight of patients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•The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eGFR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is used to determine the stage of chronic kidney disease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084B" w:rsidRPr="0063015B" w:rsidRDefault="0056084B" w:rsidP="006301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015B">
        <w:rPr>
          <w:rFonts w:asciiTheme="majorBidi" w:hAnsiTheme="majorBidi" w:cstheme="majorBidi"/>
          <w:b/>
          <w:bCs/>
          <w:sz w:val="28"/>
          <w:szCs w:val="28"/>
        </w:rPr>
        <w:t xml:space="preserve">Changes in serum </w:t>
      </w:r>
      <w:r w:rsidR="0063015B" w:rsidRPr="0063015B">
        <w:rPr>
          <w:rFonts w:asciiTheme="majorBidi" w:hAnsiTheme="majorBidi" w:cstheme="majorBidi"/>
          <w:b/>
          <w:bCs/>
          <w:sz w:val="28"/>
          <w:szCs w:val="28"/>
        </w:rPr>
        <w:t>analyses</w:t>
      </w:r>
      <w:r w:rsidRPr="0063015B">
        <w:rPr>
          <w:rFonts w:asciiTheme="majorBidi" w:hAnsiTheme="majorBidi" w:cstheme="majorBidi"/>
          <w:b/>
          <w:bCs/>
          <w:sz w:val="28"/>
          <w:szCs w:val="28"/>
        </w:rPr>
        <w:t xml:space="preserve"> in kidney disease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1-Serum Urea and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•They both are increased in renal disease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•Urea increases more in glomerular disease as compared to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•Urea is a less reliable indicator than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as it is affected by many factors such as;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•Protein intake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lastRenderedPageBreak/>
        <w:t>•Dehydration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•Muscle breakdown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2-Serum Uric acid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•It may increase in chronic kidney disease but not sufficient to cause gout</w:t>
      </w:r>
    </w:p>
    <w:p w:rsidR="00207EA6" w:rsidRPr="0063015B" w:rsidRDefault="0056084B" w:rsidP="0063015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•However raised uric acid is a bad prognostic indicator for chronic renal disease 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3-Total protein and albumin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•Both serum total protein and albumin is decreased in chronic kidney disease (CKD) due to increased proteinuria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•Even though proteinuria may also be seen in acute kidney disease but it usually does not alter the total protein and albumin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4-Serum electrolytes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•Sodium is decreased (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hyponatremia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) and potassium is increased (hyperkalemia) in chronic kidney disease (CKD) as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kidney reabsorb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sodium in exchange of potassium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•Chloride and phosphate is increased in CKD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•Calcium is decreased as vitamin D is deficient</w:t>
      </w:r>
    </w:p>
    <w:p w:rsidR="0056084B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5-</w:t>
      </w:r>
      <w:r w:rsidR="0056084B" w:rsidRPr="00865B12">
        <w:rPr>
          <w:rFonts w:asciiTheme="majorBidi" w:hAnsiTheme="majorBidi" w:cstheme="majorBidi"/>
          <w:sz w:val="28"/>
          <w:szCs w:val="28"/>
        </w:rPr>
        <w:t>RBC count and hemoglobin is decreased in advanced stages of kidney disease due to deficiency of erythropoietin</w:t>
      </w:r>
    </w:p>
    <w:p w:rsidR="0056084B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6-</w:t>
      </w:r>
      <w:r w:rsidR="0056084B" w:rsidRPr="00865B12">
        <w:rPr>
          <w:rFonts w:asciiTheme="majorBidi" w:hAnsiTheme="majorBidi" w:cstheme="majorBidi"/>
          <w:sz w:val="28"/>
          <w:szCs w:val="28"/>
        </w:rPr>
        <w:t>Urine examination reveals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•Proteinuria is seen in both acute and chronic kidney disease as well as kidney infection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•Proteinuria can be of two types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•In the initial stages very less amount of albumin escapes into urine;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microalbuminuria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(30 to 300 mg/day)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•Frank proteinuria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( when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it is greater than 300 mg/day)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•Best evaluated in 24 hour urine sample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lastRenderedPageBreak/>
        <w:t xml:space="preserve">•In spot urine albumin/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creatinine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ratio is used to evaluate proteinuria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•Presence of RBC may indicate </w:t>
      </w:r>
      <w:proofErr w:type="gramStart"/>
      <w:r w:rsidRPr="00865B12">
        <w:rPr>
          <w:rFonts w:asciiTheme="majorBidi" w:hAnsiTheme="majorBidi" w:cstheme="majorBidi"/>
          <w:sz w:val="28"/>
          <w:szCs w:val="28"/>
        </w:rPr>
        <w:t>glomerulonephritis ,</w:t>
      </w:r>
      <w:proofErr w:type="gramEnd"/>
      <w:r w:rsidRPr="00865B12">
        <w:rPr>
          <w:rFonts w:asciiTheme="majorBidi" w:hAnsiTheme="majorBidi" w:cstheme="majorBidi"/>
          <w:sz w:val="28"/>
          <w:szCs w:val="28"/>
        </w:rPr>
        <w:t xml:space="preserve"> acute nephritis, kidney infection</w:t>
      </w:r>
    </w:p>
    <w:p w:rsidR="0056084B" w:rsidRPr="00865B12" w:rsidRDefault="0056084B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•Presence of pus cells, esterase positivity, nitrites may indicate bacterial infection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</w:p>
    <w:bookmarkEnd w:id="0"/>
    <w:p w:rsidR="00865B12" w:rsidRPr="0063015B" w:rsidRDefault="00865B12" w:rsidP="0063015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015B">
        <w:rPr>
          <w:rFonts w:asciiTheme="majorBidi" w:hAnsiTheme="majorBidi" w:cstheme="majorBidi"/>
          <w:b/>
          <w:bCs/>
          <w:sz w:val="28"/>
          <w:szCs w:val="28"/>
        </w:rPr>
        <w:t>Tests for tubular function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1-Urine concentration test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•In CKD kidneys loses the ability to concentrate urine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•Specific gravity is measured in urine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•Low fixed specific gravity is indicative of chronic kidney disease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2- Urine Dilution test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•After overnight water deprivation patient is asked to take 1200ml of water in half hour, urine specific gravity is measured in samples collected over next 4 hours. At least one sample should show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spgr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of 1.003 or below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3-Para amino </w:t>
      </w:r>
      <w:proofErr w:type="spellStart"/>
      <w:r w:rsidRPr="00865B12">
        <w:rPr>
          <w:rFonts w:asciiTheme="majorBidi" w:hAnsiTheme="majorBidi" w:cstheme="majorBidi"/>
          <w:sz w:val="28"/>
          <w:szCs w:val="28"/>
        </w:rPr>
        <w:t>hippuric</w:t>
      </w:r>
      <w:proofErr w:type="spellEnd"/>
      <w:r w:rsidRPr="00865B12">
        <w:rPr>
          <w:rFonts w:asciiTheme="majorBidi" w:hAnsiTheme="majorBidi" w:cstheme="majorBidi"/>
          <w:sz w:val="28"/>
          <w:szCs w:val="28"/>
        </w:rPr>
        <w:t xml:space="preserve"> acid clearance test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•PAH is unique in that it is completely excreted in one passage through kidney as it is both filtered and secreted.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 xml:space="preserve">•Therefore clearance of PAH is a measure of renal plasma flow 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4-Acidification test</w:t>
      </w:r>
    </w:p>
    <w:p w:rsidR="00865B12" w:rsidRPr="00865B12" w:rsidRDefault="00865B12" w:rsidP="00865B12">
      <w:pPr>
        <w:jc w:val="right"/>
        <w:rPr>
          <w:rFonts w:asciiTheme="majorBidi" w:hAnsiTheme="majorBidi" w:cstheme="majorBidi"/>
          <w:sz w:val="28"/>
          <w:szCs w:val="28"/>
        </w:rPr>
      </w:pPr>
      <w:r w:rsidRPr="00865B12">
        <w:rPr>
          <w:rFonts w:asciiTheme="majorBidi" w:hAnsiTheme="majorBidi" w:cstheme="majorBidi"/>
          <w:sz w:val="28"/>
          <w:szCs w:val="28"/>
        </w:rPr>
        <w:t>•In this the ability to acidify urine is tested after administering 0.1g/kg ammonium chloride gelatin coated samples</w:t>
      </w:r>
    </w:p>
    <w:p w:rsidR="00207EA6" w:rsidRPr="00865B12" w:rsidRDefault="00207EA6" w:rsidP="00865B1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07EA6" w:rsidRPr="00865B12" w:rsidSect="005A6C5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ED" w:rsidRDefault="00017FED" w:rsidP="00FF05D4">
      <w:pPr>
        <w:spacing w:after="0" w:line="240" w:lineRule="auto"/>
      </w:pPr>
      <w:r>
        <w:separator/>
      </w:r>
    </w:p>
  </w:endnote>
  <w:endnote w:type="continuationSeparator" w:id="0">
    <w:p w:rsidR="00017FED" w:rsidRDefault="00017FED" w:rsidP="00FF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proofErr w:type="spellStart"/>
    <w:proofErr w:type="gram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Dr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.</w:t>
    </w:r>
    <w:proofErr w:type="gram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Mustafa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Saleam</w:t>
    </w:r>
    <w:proofErr w:type="spellEnd"/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PhD. at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Clinc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.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Biochem.and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Horm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.</w:t>
    </w:r>
  </w:p>
  <w:p w:rsidR="00E42139" w:rsidRPr="009C18B6" w:rsidRDefault="00E42139" w:rsidP="009C18B6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College of Medicine / Al-</w:t>
    </w:r>
    <w:proofErr w:type="spellStart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Nahrain</w:t>
    </w:r>
    <w:proofErr w:type="spellEnd"/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 xml:space="preserve"> University</w:t>
    </w:r>
  </w:p>
  <w:p w:rsidR="00DD2DBC" w:rsidRPr="009C18B6" w:rsidRDefault="00E42139" w:rsidP="00DD2DBC">
    <w:pPr>
      <w:pStyle w:val="Header"/>
      <w:ind w:firstLine="720"/>
      <w:jc w:val="center"/>
      <w:rPr>
        <w:rFonts w:ascii="Bodoni MT Condensed" w:hAnsi="Bodoni MT Condensed" w:cs="Andalus"/>
        <w:i/>
        <w:iCs/>
        <w:sz w:val="24"/>
        <w:szCs w:val="24"/>
        <w:rtl/>
        <w:lang w:bidi="ar-IQ"/>
      </w:rPr>
    </w:pPr>
    <w:r w:rsidRPr="009C18B6">
      <w:rPr>
        <w:rFonts w:ascii="Bodoni MT Condensed" w:hAnsi="Bodoni MT Condensed" w:cs="Andalus"/>
        <w:i/>
        <w:iCs/>
        <w:sz w:val="24"/>
        <w:szCs w:val="24"/>
        <w:lang w:bidi="ar-IQ"/>
      </w:rPr>
      <w:t>M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ember of AA</w:t>
    </w:r>
    <w:r w:rsidR="009D20CF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  <w:r w:rsidR="009C18B6">
      <w:rPr>
        <w:rFonts w:ascii="Bodoni MT Condensed" w:hAnsi="Bodoni MT Condensed" w:cs="Andalus"/>
        <w:i/>
        <w:iCs/>
        <w:sz w:val="24"/>
        <w:szCs w:val="24"/>
        <w:lang w:bidi="ar-IQ"/>
      </w:rPr>
      <w:t>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ED" w:rsidRDefault="00017FED" w:rsidP="00FF05D4">
      <w:pPr>
        <w:spacing w:after="0" w:line="240" w:lineRule="auto"/>
      </w:pPr>
      <w:r>
        <w:separator/>
      </w:r>
    </w:p>
  </w:footnote>
  <w:footnote w:type="continuationSeparator" w:id="0">
    <w:p w:rsidR="00017FED" w:rsidRDefault="00017FED" w:rsidP="00FF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39" w:rsidRPr="00E42139" w:rsidRDefault="00E42139" w:rsidP="001D1AC2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lang w:bidi="ar-IQ"/>
      </w:rPr>
    </w:pPr>
    <w:r w:rsidRPr="00E42139">
      <w:rPr>
        <w:i/>
        <w:iCs/>
        <w:lang w:bidi="ar-IQ"/>
      </w:rPr>
      <w:t xml:space="preserve"> </w:t>
    </w:r>
    <w:r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376179">
      <w:rPr>
        <w:rFonts w:ascii="Agency FB" w:hAnsi="Agency FB"/>
        <w:i/>
        <w:iCs/>
        <w:sz w:val="28"/>
        <w:szCs w:val="28"/>
        <w:lang w:bidi="ar-IQ"/>
      </w:rPr>
      <w:t xml:space="preserve">Lec.3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                                              </w:t>
    </w:r>
    <w:r w:rsidR="001D1AC2">
      <w:rPr>
        <w:rFonts w:ascii="Agency FB" w:hAnsi="Agency FB"/>
        <w:i/>
        <w:iCs/>
        <w:sz w:val="28"/>
        <w:szCs w:val="28"/>
        <w:lang w:bidi="ar-IQ"/>
      </w:rPr>
      <w:t xml:space="preserve">    </w:t>
    </w:r>
    <w:proofErr w:type="spellStart"/>
    <w:r w:rsidRPr="00E42139">
      <w:rPr>
        <w:rFonts w:ascii="Agency FB" w:hAnsi="Agency FB"/>
        <w:i/>
        <w:iCs/>
        <w:sz w:val="28"/>
        <w:szCs w:val="28"/>
        <w:lang w:bidi="ar-IQ"/>
      </w:rPr>
      <w:t>Clinc</w:t>
    </w:r>
    <w:proofErr w:type="spellEnd"/>
    <w:r w:rsidRPr="00E42139">
      <w:rPr>
        <w:rFonts w:ascii="Agency FB" w:hAnsi="Agency FB"/>
        <w:i/>
        <w:iCs/>
        <w:sz w:val="28"/>
        <w:szCs w:val="28"/>
        <w:lang w:bidi="ar-IQ"/>
      </w:rPr>
      <w:t xml:space="preserve">. Biochemistry </w:t>
    </w:r>
    <w:r w:rsidRPr="00E42139">
      <w:rPr>
        <w:rFonts w:ascii="Agency FB" w:hAnsi="Agency FB"/>
        <w:i/>
        <w:iCs/>
        <w:sz w:val="28"/>
        <w:szCs w:val="28"/>
        <w:rtl/>
        <w:lang w:bidi="ar-IQ"/>
      </w:rPr>
      <w:t xml:space="preserve">  </w:t>
    </w:r>
  </w:p>
  <w:p w:rsidR="00FF05D4" w:rsidRPr="00E42139" w:rsidRDefault="007D49F9" w:rsidP="0077399D">
    <w:pPr>
      <w:pStyle w:val="Header"/>
      <w:ind w:firstLine="720"/>
      <w:jc w:val="right"/>
      <w:rPr>
        <w:rFonts w:ascii="Agency FB" w:hAnsi="Agency FB"/>
        <w:i/>
        <w:iCs/>
        <w:sz w:val="28"/>
        <w:szCs w:val="28"/>
        <w:rtl/>
        <w:lang w:bidi="ar-IQ"/>
      </w:rPr>
    </w:pPr>
    <w:r w:rsidRPr="00E42139">
      <w:rPr>
        <w:rFonts w:ascii="Agency FB" w:hAnsi="Agency FB"/>
        <w:i/>
        <w:iCs/>
        <w:sz w:val="28"/>
        <w:szCs w:val="28"/>
        <w:lang w:bidi="ar-IQ"/>
      </w:rPr>
      <w:t xml:space="preserve"> </w:t>
    </w:r>
    <w:r w:rsidR="0077399D">
      <w:rPr>
        <w:rFonts w:ascii="Agency FB" w:hAnsi="Agency FB"/>
        <w:i/>
        <w:iCs/>
        <w:sz w:val="28"/>
        <w:szCs w:val="28"/>
        <w:lang w:bidi="ar-IQ"/>
      </w:rPr>
      <w:t>3</w:t>
    </w:r>
    <w:r w:rsidR="00FF05D4" w:rsidRPr="00E42139">
      <w:rPr>
        <w:rFonts w:ascii="Agency FB" w:hAnsi="Agency FB"/>
        <w:i/>
        <w:iCs/>
        <w:sz w:val="28"/>
        <w:szCs w:val="28"/>
        <w:lang w:bidi="ar-IQ"/>
      </w:rPr>
      <w:t xml:space="preserve">Stage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                             </w:t>
    </w:r>
    <w:r w:rsidRPr="00E42139">
      <w:rPr>
        <w:rFonts w:ascii="Agency FB" w:hAnsi="Agency FB"/>
        <w:i/>
        <w:iCs/>
        <w:sz w:val="28"/>
        <w:szCs w:val="28"/>
        <w:lang w:bidi="ar-IQ"/>
      </w:rPr>
      <w:t xml:space="preserve">        </w:t>
    </w:r>
    <w:r w:rsidR="00E42139" w:rsidRPr="00E42139">
      <w:rPr>
        <w:rFonts w:ascii="Agency FB" w:hAnsi="Agency FB"/>
        <w:i/>
        <w:iCs/>
        <w:sz w:val="28"/>
        <w:szCs w:val="28"/>
        <w:lang w:bidi="ar-IQ"/>
      </w:rPr>
      <w:t xml:space="preserve">Medical Lab. Techniques Department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BF8"/>
    <w:multiLevelType w:val="hybridMultilevel"/>
    <w:tmpl w:val="72E42E58"/>
    <w:lvl w:ilvl="0" w:tplc="2D1E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41F6C">
      <w:start w:val="4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8A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C8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87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9E6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A9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6F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4C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721F7"/>
    <w:multiLevelType w:val="hybridMultilevel"/>
    <w:tmpl w:val="7F00AC40"/>
    <w:lvl w:ilvl="0" w:tplc="BBBEF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4B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A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E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4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AC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10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3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4A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103845"/>
    <w:multiLevelType w:val="hybridMultilevel"/>
    <w:tmpl w:val="C330826E"/>
    <w:lvl w:ilvl="0" w:tplc="4A52B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A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6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A3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C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90A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2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85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234FC4"/>
    <w:multiLevelType w:val="hybridMultilevel"/>
    <w:tmpl w:val="93247388"/>
    <w:lvl w:ilvl="0" w:tplc="940AE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89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215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E6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A21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ED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05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66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81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7BFD"/>
    <w:multiLevelType w:val="hybridMultilevel"/>
    <w:tmpl w:val="DB10B918"/>
    <w:lvl w:ilvl="0" w:tplc="7C4C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08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C91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8A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6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27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A1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8E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272F00"/>
    <w:multiLevelType w:val="hybridMultilevel"/>
    <w:tmpl w:val="82A0A64C"/>
    <w:lvl w:ilvl="0" w:tplc="47E0F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9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C0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C6CC6">
      <w:start w:val="115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90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E5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4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86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A14004"/>
    <w:multiLevelType w:val="hybridMultilevel"/>
    <w:tmpl w:val="58BC7F9A"/>
    <w:lvl w:ilvl="0" w:tplc="D2106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686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850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A87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85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428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24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266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42C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722E39"/>
    <w:multiLevelType w:val="hybridMultilevel"/>
    <w:tmpl w:val="12AEF224"/>
    <w:lvl w:ilvl="0" w:tplc="E75E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E2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0D1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8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63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2F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2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41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AE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3660987"/>
    <w:multiLevelType w:val="hybridMultilevel"/>
    <w:tmpl w:val="4D844298"/>
    <w:lvl w:ilvl="0" w:tplc="37E00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26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66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62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2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5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02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8E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A2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B2565"/>
    <w:multiLevelType w:val="hybridMultilevel"/>
    <w:tmpl w:val="A6F2085E"/>
    <w:lvl w:ilvl="0" w:tplc="3E522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8F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B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8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69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A5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485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0C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6B29B1"/>
    <w:multiLevelType w:val="hybridMultilevel"/>
    <w:tmpl w:val="36B08CD6"/>
    <w:lvl w:ilvl="0" w:tplc="665080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82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E2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6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A8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3AB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42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2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26B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7E"/>
    <w:rsid w:val="00017908"/>
    <w:rsid w:val="00017FED"/>
    <w:rsid w:val="0002007C"/>
    <w:rsid w:val="0008687D"/>
    <w:rsid w:val="000D0703"/>
    <w:rsid w:val="00196DA1"/>
    <w:rsid w:val="001A3BD6"/>
    <w:rsid w:val="001D1AC2"/>
    <w:rsid w:val="001F059E"/>
    <w:rsid w:val="001F0FC8"/>
    <w:rsid w:val="00207EA6"/>
    <w:rsid w:val="00231333"/>
    <w:rsid w:val="00254623"/>
    <w:rsid w:val="00261C53"/>
    <w:rsid w:val="00264820"/>
    <w:rsid w:val="002B0703"/>
    <w:rsid w:val="002F314F"/>
    <w:rsid w:val="00306B8C"/>
    <w:rsid w:val="00376179"/>
    <w:rsid w:val="003850F9"/>
    <w:rsid w:val="00395D53"/>
    <w:rsid w:val="00397011"/>
    <w:rsid w:val="003B2630"/>
    <w:rsid w:val="003E3188"/>
    <w:rsid w:val="004A671C"/>
    <w:rsid w:val="004C0A36"/>
    <w:rsid w:val="0056084B"/>
    <w:rsid w:val="00567419"/>
    <w:rsid w:val="005A6C55"/>
    <w:rsid w:val="005B7125"/>
    <w:rsid w:val="005F2485"/>
    <w:rsid w:val="0063015B"/>
    <w:rsid w:val="006706E8"/>
    <w:rsid w:val="0067153B"/>
    <w:rsid w:val="006C1FA1"/>
    <w:rsid w:val="006C387E"/>
    <w:rsid w:val="00717C67"/>
    <w:rsid w:val="0077399D"/>
    <w:rsid w:val="00782FD5"/>
    <w:rsid w:val="007922D9"/>
    <w:rsid w:val="007A5E7E"/>
    <w:rsid w:val="007D49F9"/>
    <w:rsid w:val="007D7F30"/>
    <w:rsid w:val="00851F2F"/>
    <w:rsid w:val="0085694E"/>
    <w:rsid w:val="00865B12"/>
    <w:rsid w:val="00884260"/>
    <w:rsid w:val="008A5E5A"/>
    <w:rsid w:val="008E0026"/>
    <w:rsid w:val="0090616D"/>
    <w:rsid w:val="00912DD2"/>
    <w:rsid w:val="00984146"/>
    <w:rsid w:val="009856F1"/>
    <w:rsid w:val="00997F30"/>
    <w:rsid w:val="009C18B6"/>
    <w:rsid w:val="009D20CF"/>
    <w:rsid w:val="00A66C65"/>
    <w:rsid w:val="00AA508F"/>
    <w:rsid w:val="00B34459"/>
    <w:rsid w:val="00B40346"/>
    <w:rsid w:val="00B43E84"/>
    <w:rsid w:val="00B55DFC"/>
    <w:rsid w:val="00BC5CC9"/>
    <w:rsid w:val="00C06A2F"/>
    <w:rsid w:val="00C52B20"/>
    <w:rsid w:val="00CB5F19"/>
    <w:rsid w:val="00CC6567"/>
    <w:rsid w:val="00D72262"/>
    <w:rsid w:val="00DD2DBC"/>
    <w:rsid w:val="00E10EC1"/>
    <w:rsid w:val="00E24AD0"/>
    <w:rsid w:val="00E42139"/>
    <w:rsid w:val="00EC6456"/>
    <w:rsid w:val="00EC7C4D"/>
    <w:rsid w:val="00F33C4F"/>
    <w:rsid w:val="00F54A82"/>
    <w:rsid w:val="00FF05D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E5A"/>
    <w:pPr>
      <w:bidi/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52B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D4"/>
  </w:style>
  <w:style w:type="paragraph" w:styleId="Footer">
    <w:name w:val="footer"/>
    <w:basedOn w:val="Normal"/>
    <w:link w:val="FooterChar"/>
    <w:uiPriority w:val="99"/>
    <w:unhideWhenUsed/>
    <w:rsid w:val="00FF05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D4"/>
  </w:style>
  <w:style w:type="paragraph" w:styleId="ListParagraph">
    <w:name w:val="List Paragraph"/>
    <w:basedOn w:val="Normal"/>
    <w:uiPriority w:val="34"/>
    <w:qFormat/>
    <w:rsid w:val="00F33C4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3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6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3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9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7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8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0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05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450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9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02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9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45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26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8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6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9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57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72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369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75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321">
          <w:marLeft w:val="619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1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42</cp:revision>
  <dcterms:created xsi:type="dcterms:W3CDTF">2021-01-06T08:50:00Z</dcterms:created>
  <dcterms:modified xsi:type="dcterms:W3CDTF">2021-01-19T18:57:00Z</dcterms:modified>
</cp:coreProperties>
</file>