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6E" w:rsidRPr="0045125D" w:rsidRDefault="00E0566E" w:rsidP="00BB270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E0566E" w:rsidP="00BB270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FB1F19" w:rsidRDefault="00FB1F19" w:rsidP="00BB270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>H</w:t>
      </w:r>
      <w:r w:rsidRPr="00FB1F1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ematologic </w:t>
      </w:r>
      <w:r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>D</w:t>
      </w:r>
      <w:r w:rsidRPr="00FB1F1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>isorders</w:t>
      </w:r>
    </w:p>
    <w:p w:rsidR="00E0566E" w:rsidRPr="00A10A8E" w:rsidRDefault="00FB1F19" w:rsidP="00BB270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  <w:lang w:bidi="ar-IQ"/>
        </w:rPr>
      </w:pPr>
      <w:r w:rsidRPr="00FB1F19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>Anemias</w:t>
      </w:r>
    </w:p>
    <w:p w:rsidR="00FB1F19" w:rsidRPr="000746CE" w:rsidRDefault="00FB1F19" w:rsidP="00D71D08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Introduction </w:t>
      </w:r>
    </w:p>
    <w:p w:rsidR="00D545A6" w:rsidRDefault="00D545A6" w:rsidP="00D545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 w:rsidRPr="00D545A6">
        <w:rPr>
          <w:rFonts w:ascii="MinionPro-It" w:hAnsi="MinionPro-It" w:cs="MinionPro-It"/>
          <w:sz w:val="28"/>
          <w:szCs w:val="28"/>
        </w:rPr>
        <w:t>1-</w:t>
      </w:r>
      <w:r w:rsidR="00FB1F19" w:rsidRPr="00D545A6">
        <w:rPr>
          <w:rFonts w:ascii="MinionPro-It" w:hAnsi="MinionPro-It" w:cs="MinionPro-It"/>
          <w:sz w:val="28"/>
          <w:szCs w:val="28"/>
        </w:rPr>
        <w:t>Anemia</w:t>
      </w:r>
      <w:r w:rsidR="00FB1F19" w:rsidRPr="00FB1F19">
        <w:rPr>
          <w:rFonts w:ascii="MinionPro-It" w:hAnsi="MinionPro-It" w:cs="MinionPro-It"/>
          <w:i/>
          <w:iCs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is a group of diseases characterized by a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decrease in either hemoglobin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(Hb)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or the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volume of red blood cells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(RBCs), resulting in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decreased oxygen-carrying</w:t>
      </w: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capacity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of blood. </w:t>
      </w:r>
    </w:p>
    <w:p w:rsidR="00D545A6" w:rsidRPr="00BB2709" w:rsidRDefault="00D545A6" w:rsidP="00D545A6">
      <w:pPr>
        <w:autoSpaceDE w:val="0"/>
        <w:autoSpaceDN w:val="0"/>
        <w:bidi w:val="0"/>
        <w:adjustRightInd w:val="0"/>
        <w:spacing w:after="0" w:line="240" w:lineRule="auto"/>
        <w:rPr>
          <w:rFonts w:ascii="MinionPro-Regular" w:hAnsi="MinionPro-Regular" w:cs="MinionPro-Regular"/>
          <w:sz w:val="16"/>
          <w:szCs w:val="16"/>
        </w:rPr>
      </w:pPr>
    </w:p>
    <w:p w:rsidR="00FB1F19" w:rsidRPr="00BB2709" w:rsidRDefault="00D545A6" w:rsidP="00D545A6">
      <w:pPr>
        <w:autoSpaceDE w:val="0"/>
        <w:autoSpaceDN w:val="0"/>
        <w:bidi w:val="0"/>
        <w:adjustRightInd w:val="0"/>
        <w:spacing w:after="0" w:line="240" w:lineRule="auto"/>
        <w:rPr>
          <w:rFonts w:ascii="MinionPro-Regular" w:hAnsi="MinionPro-Regular" w:cs="MinionPro-Regular"/>
          <w:b/>
          <w:bCs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2-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The World Health Organization defines anemia as Hb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less than</w:t>
      </w: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13 g/dL  in men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or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less</w:t>
      </w: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than 12 g/dL in women.</w:t>
      </w:r>
    </w:p>
    <w:p w:rsidR="00FB1F19" w:rsidRPr="004F1EC0" w:rsidRDefault="00FB1F19" w:rsidP="00FB1F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Default="00FB1F19" w:rsidP="00D71D08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P</w:t>
      </w: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athophysiology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</w:p>
    <w:p w:rsidR="0056453C" w:rsidRDefault="004F1EC0" w:rsidP="0056453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253F6E">
        <w:rPr>
          <w:rFonts w:ascii="MinionPro-Regular" w:hAnsi="MinionPro-Regular" w:cs="MinionPro-Regular"/>
          <w:sz w:val="28"/>
          <w:szCs w:val="28"/>
        </w:rPr>
        <w:t>1-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The functional classification of anemias is found in </w:t>
      </w:r>
      <w:r w:rsidR="00FB1F19" w:rsidRPr="00FB1F19">
        <w:rPr>
          <w:rFonts w:ascii="MinionPro-Bold" w:hAnsi="MinionPro-Bold" w:cs="MinionPro-Bold"/>
          <w:b/>
          <w:bCs/>
          <w:sz w:val="28"/>
          <w:szCs w:val="28"/>
        </w:rPr>
        <w:t>Fig. -1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>.</w:t>
      </w:r>
    </w:p>
    <w:p w:rsidR="0056453C" w:rsidRDefault="00FB1F19" w:rsidP="0056453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MinionPro-Regular" w:hAnsi="MinionPro-Regular" w:cs="MinionPro-Regular"/>
          <w:sz w:val="28"/>
          <w:szCs w:val="28"/>
        </w:rPr>
      </w:pPr>
      <w:r w:rsidRPr="00FB1F19">
        <w:rPr>
          <w:rFonts w:ascii="MinionPro-Regular" w:hAnsi="MinionPro-Regular" w:cs="MinionPro-Regular"/>
          <w:sz w:val="28"/>
          <w:szCs w:val="28"/>
        </w:rPr>
        <w:t xml:space="preserve"> </w:t>
      </w:r>
      <w:r w:rsidR="0056453C">
        <w:rPr>
          <w:noProof/>
          <w:lang w:val="en-GB" w:eastAsia="en-GB"/>
        </w:rPr>
        <w:drawing>
          <wp:inline distT="0" distB="0" distL="0" distR="0" wp14:anchorId="6FBE6C1B" wp14:editId="77463B1F">
            <wp:extent cx="5480310" cy="339880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53C" w:rsidRPr="0056453C" w:rsidRDefault="0056453C" w:rsidP="0056453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MinionPro-Regular" w:hAnsi="MinionPro-Regular" w:cs="MinionPro-Regular"/>
          <w:b/>
          <w:bCs/>
          <w:sz w:val="28"/>
          <w:szCs w:val="28"/>
        </w:rPr>
      </w:pPr>
      <w:r w:rsidRPr="0056453C">
        <w:rPr>
          <w:rFonts w:ascii="MinionPro-Regular" w:hAnsi="MinionPro-Regular" w:cs="MinionPro-Regular"/>
          <w:b/>
          <w:bCs/>
          <w:sz w:val="28"/>
          <w:szCs w:val="28"/>
        </w:rPr>
        <w:t>Figure -1. Functional classification of anemia.</w:t>
      </w:r>
    </w:p>
    <w:p w:rsidR="0056453C" w:rsidRPr="004F1EC0" w:rsidRDefault="0056453C" w:rsidP="0056453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53F6E" w:rsidRDefault="00253F6E" w:rsidP="00D545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2-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253F6E">
        <w:rPr>
          <w:rFonts w:ascii="MinionPro-Regular" w:hAnsi="MinionPro-Regular" w:cs="MinionPro-Regular"/>
          <w:b/>
          <w:bCs/>
          <w:sz w:val="28"/>
          <w:szCs w:val="28"/>
        </w:rPr>
        <w:t>Morphologic classifications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are based on </w:t>
      </w:r>
      <w:r w:rsidR="00FB1F19" w:rsidRPr="00253F6E">
        <w:rPr>
          <w:rFonts w:ascii="MinionPro-Regular" w:hAnsi="MinionPro-Regular" w:cs="MinionPro-Regular"/>
          <w:b/>
          <w:bCs/>
          <w:sz w:val="28"/>
          <w:szCs w:val="28"/>
        </w:rPr>
        <w:t>cell size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. </w:t>
      </w:r>
    </w:p>
    <w:p w:rsidR="00253F6E" w:rsidRDefault="00253F6E" w:rsidP="00253F6E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MinionPro-Regular" w:hAnsi="MinionPro-Regular" w:cs="MinionPro-Regular"/>
          <w:sz w:val="28"/>
          <w:szCs w:val="28"/>
        </w:rPr>
      </w:pP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>A-</w:t>
      </w:r>
      <w:r w:rsidR="00FB1F19" w:rsidRPr="00253F6E">
        <w:rPr>
          <w:rFonts w:ascii="MinionPro-Regular" w:hAnsi="MinionPro-Regular" w:cs="MinionPro-Regular"/>
          <w:b/>
          <w:bCs/>
          <w:sz w:val="28"/>
          <w:szCs w:val="28"/>
        </w:rPr>
        <w:t>Macrocytic cells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are larger than</w:t>
      </w:r>
      <w:r w:rsidR="00D545A6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normal and are associated with deficiencies of vitamin B12 or folic acid. </w:t>
      </w:r>
    </w:p>
    <w:p w:rsidR="00253F6E" w:rsidRPr="004F1EC0" w:rsidRDefault="00253F6E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BB2709" w:rsidRDefault="00253F6E" w:rsidP="00253F6E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MinionPro-Regular" w:hAnsi="MinionPro-Regular" w:cs="MinionPro-Regular"/>
          <w:b/>
          <w:bCs/>
          <w:sz w:val="28"/>
          <w:szCs w:val="28"/>
        </w:rPr>
      </w:pP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>B-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Microcytic</w:t>
      </w:r>
      <w:r w:rsidR="00D545A6"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cells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are smaller than normal and are associated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with iron deficiency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, whereas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normocytic</w:t>
      </w: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anemia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may be associated with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recent blood loss or chronic disease.</w:t>
      </w:r>
    </w:p>
    <w:p w:rsidR="00D545A6" w:rsidRPr="004F1EC0" w:rsidRDefault="00D545A6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FB1F19" w:rsidRDefault="00253F6E" w:rsidP="00253F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3</w:t>
      </w: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>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Iron-deficiency anemia (IDA),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characterized by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decreased levels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of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ferritin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(most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sensitive marker) and serum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iron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, and decreased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transferrin saturation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>, can be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>caused by inadequate dietary intake, inadequate gastrointestinal (GI) absorption,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>increased iron demand (eg, pregnancy), blood loss, and chronic diseases.</w:t>
      </w:r>
    </w:p>
    <w:p w:rsidR="00D545A6" w:rsidRPr="004F1EC0" w:rsidRDefault="00D545A6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53F6E" w:rsidRDefault="00BB2709" w:rsidP="00253F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b/>
          <w:bCs/>
          <w:sz w:val="28"/>
          <w:szCs w:val="28"/>
        </w:rPr>
        <w:t>4</w:t>
      </w:r>
      <w:r w:rsidR="00253F6E" w:rsidRPr="00BB2709">
        <w:rPr>
          <w:rFonts w:ascii="MinionPro-Regular" w:hAnsi="MinionPro-Regular" w:cs="MinionPro-Regular"/>
          <w:b/>
          <w:bCs/>
          <w:sz w:val="28"/>
          <w:szCs w:val="28"/>
        </w:rPr>
        <w:t>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Vitamin B12– and folic acid–deficiency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anemias, macrocytic in nature, can be</w:t>
      </w:r>
      <w:r w:rsidR="00253F6E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>caused by inadequate dietary intake, malabsorption syndromes, and inadequate</w:t>
      </w:r>
      <w:r w:rsidR="00253F6E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utilization. </w:t>
      </w:r>
    </w:p>
    <w:p w:rsidR="00BB2709" w:rsidRPr="004F1EC0" w:rsidRDefault="00BB2709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53F6E" w:rsidRDefault="00253F6E" w:rsidP="00BB2709">
      <w:p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lastRenderedPageBreak/>
        <w:t>A</w:t>
      </w: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>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Deficiency of intrinsic factor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causes decreased absorption of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vitamin B12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(ie,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pernicious anemia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). </w:t>
      </w:r>
    </w:p>
    <w:p w:rsidR="00253F6E" w:rsidRPr="004F1EC0" w:rsidRDefault="00253F6E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53F6E" w:rsidRDefault="00253F6E" w:rsidP="00253F6E">
      <w:p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MinionPro-Regular" w:hAnsi="MinionPro-Regular" w:cs="MinionPro-Regular"/>
          <w:sz w:val="28"/>
          <w:szCs w:val="28"/>
        </w:rPr>
      </w:pP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>B-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Folic acid–deficiency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anemia can be caused by hyperutilization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>due to pregnancy, hemolytic anemia</w:t>
      </w:r>
      <w:r w:rsidR="00D545A6">
        <w:rPr>
          <w:rFonts w:ascii="MinionPro-Regular" w:hAnsi="MinionPro-Regular" w:cs="MinionPro-Regular"/>
          <w:sz w:val="28"/>
          <w:szCs w:val="28"/>
        </w:rPr>
        <w:t>,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malignancy, chronic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inflammatory disorders, long-term dialysis, or growth spurt. </w:t>
      </w:r>
    </w:p>
    <w:p w:rsidR="00253F6E" w:rsidRPr="004F1EC0" w:rsidRDefault="00FA1A0B" w:rsidP="00FA1A0B">
      <w:pPr>
        <w:tabs>
          <w:tab w:val="left" w:pos="1318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  <w:r>
        <w:rPr>
          <w:rFonts w:asciiTheme="majorBidi" w:hAnsiTheme="majorBidi" w:cstheme="majorBidi"/>
          <w:b/>
          <w:bCs/>
          <w:color w:val="FF0000"/>
          <w:sz w:val="16"/>
          <w:szCs w:val="16"/>
        </w:rPr>
        <w:tab/>
      </w:r>
    </w:p>
    <w:p w:rsidR="004F1EC0" w:rsidRDefault="00253F6E" w:rsidP="00253F6E">
      <w:p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MinionPro-Regular" w:hAnsi="MinionPro-Regular" w:cs="MinionPro-Regular"/>
          <w:sz w:val="28"/>
          <w:szCs w:val="28"/>
        </w:rPr>
      </w:pP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>C-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Drugs can cause anemia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>by reducing absorption of folate (eg, phenytoin) or through folate antagonism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>(eg, methotrexate).</w:t>
      </w:r>
      <w:r w:rsidR="004F1EC0">
        <w:rPr>
          <w:rFonts w:ascii="MinionPro-Regular" w:hAnsi="MinionPro-Regular" w:cs="MinionPro-Regular"/>
          <w:sz w:val="28"/>
          <w:szCs w:val="28"/>
        </w:rPr>
        <w:t xml:space="preserve"> </w:t>
      </w:r>
    </w:p>
    <w:p w:rsidR="00D545A6" w:rsidRPr="004F1EC0" w:rsidRDefault="00D545A6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53F6E" w:rsidRDefault="00BB2709" w:rsidP="00253F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b/>
          <w:bCs/>
          <w:sz w:val="28"/>
          <w:szCs w:val="28"/>
        </w:rPr>
        <w:t>5</w:t>
      </w:r>
      <w:r w:rsidR="00253F6E" w:rsidRPr="00BB2709">
        <w:rPr>
          <w:rFonts w:ascii="MinionPro-Regular" w:hAnsi="MinionPro-Regular" w:cs="MinionPro-Regular"/>
          <w:b/>
          <w:bCs/>
          <w:sz w:val="28"/>
          <w:szCs w:val="28"/>
        </w:rPr>
        <w:t>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Anemia of inflammation (AI) </w:t>
      </w:r>
      <w:r w:rsidR="00FB1F19" w:rsidRPr="00BB2709">
        <w:rPr>
          <w:rFonts w:ascii="MinionPro-Regular" w:hAnsi="MinionPro-Regular" w:cs="MinionPro-Regular"/>
          <w:sz w:val="28"/>
          <w:szCs w:val="28"/>
        </w:rPr>
        <w:t>is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a newer term used to describe both anemia of</w:t>
      </w:r>
      <w:r w:rsidR="00253F6E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chronic disease and anemia of critical illness. </w:t>
      </w:r>
    </w:p>
    <w:p w:rsidR="00BB2709" w:rsidRPr="004F1EC0" w:rsidRDefault="00BB2709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53F6E" w:rsidRDefault="00253F6E" w:rsidP="00BB2709">
      <w:p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MinionPro-Regular" w:hAnsi="MinionPro-Regular" w:cs="MinionPro-Regular"/>
          <w:sz w:val="28"/>
          <w:szCs w:val="28"/>
        </w:rPr>
      </w:pP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>A</w:t>
      </w:r>
      <w:r>
        <w:rPr>
          <w:rFonts w:ascii="MinionPro-Regular" w:hAnsi="MinionPro-Regular" w:cs="MinionPro-Regular"/>
          <w:sz w:val="28"/>
          <w:szCs w:val="28"/>
        </w:rPr>
        <w:t>-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>AI is an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>anemia that traditionally has been associated with malignant, infectious, or inflammatory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>processes, tissue injury, and conditions associated with release of proinflammatory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cytokines. </w:t>
      </w:r>
    </w:p>
    <w:p w:rsidR="00253F6E" w:rsidRPr="004F1EC0" w:rsidRDefault="00253F6E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FB1F19" w:rsidRDefault="00253F6E" w:rsidP="0091402D">
      <w:p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MinionPro-Regular" w:hAnsi="MinionPro-Regular" w:cs="MinionPro-Regular"/>
          <w:sz w:val="28"/>
          <w:szCs w:val="28"/>
        </w:rPr>
      </w:pP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>B</w:t>
      </w:r>
      <w:r>
        <w:rPr>
          <w:rFonts w:ascii="MinionPro-Regular" w:hAnsi="MinionPro-Regular" w:cs="MinionPro-Regular"/>
          <w:sz w:val="28"/>
          <w:szCs w:val="28"/>
        </w:rPr>
        <w:t>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Serum iron is decreased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 xml:space="preserve"> but in contrast to IDA, the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serum ferritin</w:t>
      </w: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concentration is normal or increased</w:t>
      </w:r>
      <w:r w:rsidR="00FB1F19" w:rsidRPr="00FB1F19">
        <w:rPr>
          <w:rFonts w:ascii="MinionPro-Regular" w:hAnsi="MinionPro-Regular" w:cs="MinionPro-Regular"/>
          <w:sz w:val="28"/>
          <w:szCs w:val="28"/>
        </w:rPr>
        <w:t>.</w:t>
      </w:r>
    </w:p>
    <w:p w:rsidR="00FB1F19" w:rsidRPr="004F1EC0" w:rsidRDefault="00FB1F19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0746CE" w:rsidRDefault="00FB1F19" w:rsidP="00D71D08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 presentation</w:t>
      </w:r>
    </w:p>
    <w:p w:rsidR="00FB1F19" w:rsidRPr="0096107B" w:rsidRDefault="00253F6E" w:rsidP="00BB27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 w:rsidRPr="00253F6E">
        <w:rPr>
          <w:rFonts w:ascii="MinionPro-Regular" w:hAnsi="MinionPro-Regular" w:cs="MinionPro-Regular"/>
          <w:sz w:val="28"/>
          <w:szCs w:val="28"/>
        </w:rPr>
        <w:t>1-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Acute-onset anemia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 is characterized by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cardiorespiratory symptoms</w:t>
      </w:r>
      <w:r w:rsidR="00BB2709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>such as palpitations, angina, orthostatic light-headedness, and breathlessness.</w:t>
      </w:r>
    </w:p>
    <w:p w:rsidR="00D545A6" w:rsidRPr="004F1EC0" w:rsidRDefault="00D545A6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095E24" w:rsidRDefault="00253F6E" w:rsidP="0091402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2-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Chronic anemia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 is characterized by weakness, fatigue, headache, orthopnea, dyspnea</w:t>
      </w:r>
      <w:r w:rsidR="009B275F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on exertion, vertigo, faintness, cold sensitivity, </w:t>
      </w:r>
      <w:r w:rsidR="00FB4821">
        <w:rPr>
          <w:rFonts w:ascii="MinionPro-Regular" w:hAnsi="MinionPro-Regular" w:cs="MinionPro-Regular"/>
          <w:sz w:val="28"/>
          <w:szCs w:val="28"/>
        </w:rPr>
        <w:t xml:space="preserve">and 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>pallor</w:t>
      </w:r>
      <w:r w:rsidR="0091402D">
        <w:rPr>
          <w:rFonts w:ascii="MinionPro-Regular" w:hAnsi="MinionPro-Regular" w:cs="MinionPro-Regular"/>
          <w:sz w:val="28"/>
          <w:szCs w:val="28"/>
        </w:rPr>
        <w:t>.</w:t>
      </w:r>
    </w:p>
    <w:p w:rsidR="00FB1F19" w:rsidRPr="004F1EC0" w:rsidRDefault="00FB1F19" w:rsidP="00FB1F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96107B" w:rsidRDefault="00253F6E" w:rsidP="00BB27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3-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IDA is characterized by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 glossal pain, smooth tongue, reduced salivary flow,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pica</w:t>
      </w:r>
      <w:r w:rsidR="00BB2709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(compulsive eating of nonfood items), and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pagophagia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 (compulsive eating of ice).</w:t>
      </w:r>
    </w:p>
    <w:p w:rsidR="00D545A6" w:rsidRPr="004F1EC0" w:rsidRDefault="00D545A6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BB2709" w:rsidRDefault="00253F6E" w:rsidP="00BB27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b/>
          <w:bCs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4-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Neurologic effects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 (eg, numbness and paraesthesisas)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of vitamin B12 deficiency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 may</w:t>
      </w:r>
      <w:r w:rsidR="00BB2709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>precede hematologic changes. Psychiatric findings, including irritability, depression,</w:t>
      </w:r>
      <w:r w:rsidR="00BB2709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and memory impairment, may also occur with vitamin B12 deficiency.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Anemia with</w:t>
      </w:r>
      <w:r w:rsidR="00BB2709"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folate deficiency is not associated with neurologic symptoms.</w:t>
      </w:r>
    </w:p>
    <w:p w:rsidR="00BB2709" w:rsidRPr="004F1EC0" w:rsidRDefault="00BB2709" w:rsidP="00FB1F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D71D08" w:rsidRDefault="00FB1F19" w:rsidP="00D71D08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D71D08">
        <w:rPr>
          <w:rFonts w:asciiTheme="majorBidi" w:hAnsiTheme="majorBidi" w:cstheme="majorBidi"/>
          <w:b/>
          <w:bCs/>
          <w:color w:val="FF0000"/>
          <w:sz w:val="32"/>
          <w:szCs w:val="32"/>
        </w:rPr>
        <w:t>Diagnosis</w:t>
      </w:r>
    </w:p>
    <w:p w:rsidR="00FB1F19" w:rsidRPr="0096107B" w:rsidRDefault="00253F6E" w:rsidP="00253F6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1-</w:t>
      </w:r>
      <w:r w:rsidR="00F547FD">
        <w:rPr>
          <w:rFonts w:ascii="MinionPro-Regular" w:hAnsi="MinionPro-Regular" w:cs="MinionPro-Regular"/>
          <w:sz w:val="28"/>
          <w:szCs w:val="28"/>
        </w:rPr>
        <w:t>R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apid diagnosis is essential because anemia is often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a sign of underlying pathology.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>Severity of symptoms does not always correlate with the degree of anemia.</w:t>
      </w:r>
    </w:p>
    <w:p w:rsidR="00D545A6" w:rsidRPr="004F1EC0" w:rsidRDefault="00D545A6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Default="00253F6E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 w:rsidRPr="00FB4821">
        <w:rPr>
          <w:rFonts w:ascii="MinionPro-Regular" w:hAnsi="MinionPro-Regular" w:cs="MinionPro-Regular"/>
          <w:sz w:val="28"/>
          <w:szCs w:val="28"/>
        </w:rPr>
        <w:t>2-</w:t>
      </w:r>
      <w:r w:rsidR="00FB1F19" w:rsidRPr="00FB4821">
        <w:rPr>
          <w:rFonts w:ascii="MinionPro-Regular" w:hAnsi="MinionPro-Regular" w:cs="MinionPro-Regular"/>
          <w:sz w:val="28"/>
          <w:szCs w:val="28"/>
        </w:rPr>
        <w:t xml:space="preserve">Initial evaluation of anemia involves a </w:t>
      </w:r>
      <w:r w:rsidR="00FB1F19" w:rsidRPr="00FB4821">
        <w:rPr>
          <w:rFonts w:ascii="MinionPro-Regular" w:hAnsi="MinionPro-Regular" w:cs="MinionPro-Regular"/>
          <w:b/>
          <w:bCs/>
          <w:sz w:val="28"/>
          <w:szCs w:val="28"/>
        </w:rPr>
        <w:t>complete blood cell count</w:t>
      </w:r>
      <w:r w:rsidR="00FB1F19" w:rsidRPr="00FB4821">
        <w:rPr>
          <w:rFonts w:ascii="MinionPro-Regular" w:hAnsi="MinionPro-Regular" w:cs="MinionPro-Regular"/>
          <w:sz w:val="28"/>
          <w:szCs w:val="28"/>
        </w:rPr>
        <w:t xml:space="preserve"> (CBC), </w:t>
      </w:r>
      <w:r w:rsidR="00FB1F19" w:rsidRPr="00FB4821">
        <w:rPr>
          <w:rFonts w:ascii="MinionPro-Regular" w:hAnsi="MinionPro-Regular" w:cs="MinionPro-Regular"/>
          <w:b/>
          <w:bCs/>
          <w:sz w:val="28"/>
          <w:szCs w:val="28"/>
        </w:rPr>
        <w:t>reticulocyte</w:t>
      </w:r>
      <w:r w:rsidR="004F1EC0" w:rsidRPr="00FB4821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FB4821">
        <w:rPr>
          <w:rFonts w:ascii="MinionPro-Regular" w:hAnsi="MinionPro-Regular" w:cs="MinionPro-Regular"/>
          <w:b/>
          <w:bCs/>
          <w:sz w:val="28"/>
          <w:szCs w:val="28"/>
        </w:rPr>
        <w:t>index</w:t>
      </w:r>
      <w:r w:rsidR="00FB1F19" w:rsidRPr="00FB4821">
        <w:rPr>
          <w:rFonts w:ascii="MinionPro-Regular" w:hAnsi="MinionPro-Regular" w:cs="MinionPro-Regular"/>
          <w:sz w:val="28"/>
          <w:szCs w:val="28"/>
        </w:rPr>
        <w:t xml:space="preserve">, and </w:t>
      </w:r>
      <w:r w:rsidR="00FB1F19" w:rsidRPr="00FB4821">
        <w:rPr>
          <w:rFonts w:ascii="MinionPro-Regular" w:hAnsi="MinionPro-Regular" w:cs="MinionPro-Regular"/>
          <w:b/>
          <w:bCs/>
          <w:sz w:val="28"/>
          <w:szCs w:val="28"/>
        </w:rPr>
        <w:t>examination of the stool for occult blood</w:t>
      </w:r>
      <w:r w:rsidR="00FB1F19" w:rsidRPr="00FB4821">
        <w:rPr>
          <w:rFonts w:ascii="MinionPro-Regular" w:hAnsi="MinionPro-Regular" w:cs="MinionPro-Regular"/>
          <w:sz w:val="28"/>
          <w:szCs w:val="28"/>
        </w:rPr>
        <w:t>.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 </w:t>
      </w:r>
    </w:p>
    <w:p w:rsidR="00D545A6" w:rsidRPr="004F1EC0" w:rsidRDefault="00D545A6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96107B" w:rsidRDefault="00253F6E" w:rsidP="007331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3-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The earliest and most sensitive laboratory change for IDA is </w:t>
      </w:r>
      <w:r w:rsidR="00FB1F19" w:rsidRPr="0073311B">
        <w:rPr>
          <w:rFonts w:ascii="MinionPro-Regular" w:hAnsi="MinionPro-Regular" w:cs="MinionPro-Regular"/>
          <w:b/>
          <w:bCs/>
          <w:sz w:val="28"/>
          <w:szCs w:val="28"/>
        </w:rPr>
        <w:t>decreased serum ferritin</w:t>
      </w:r>
      <w:r w:rsidR="00F547FD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>(storage iron)</w:t>
      </w:r>
      <w:r w:rsidR="0073311B">
        <w:rPr>
          <w:rFonts w:ascii="MinionPro-Regular" w:hAnsi="MinionPro-Regular" w:cs="MinionPro-Regular"/>
          <w:sz w:val="28"/>
          <w:szCs w:val="28"/>
        </w:rPr>
        <w:t xml:space="preserve">. </w:t>
      </w:r>
    </w:p>
    <w:p w:rsidR="00D545A6" w:rsidRPr="004F1EC0" w:rsidRDefault="00D545A6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Default="00F547FD" w:rsidP="00F547F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4-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In macrocytic anemias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, mean corpuscular volume is usually </w:t>
      </w:r>
      <w:r w:rsidR="00E318A5" w:rsidRPr="0096107B">
        <w:rPr>
          <w:rFonts w:ascii="MinionPro-Regular" w:hAnsi="MinionPro-Regular" w:cs="MinionPro-Regular"/>
          <w:sz w:val="28"/>
          <w:szCs w:val="28"/>
        </w:rPr>
        <w:t>elevated</w:t>
      </w:r>
      <w:r w:rsidR="00E318A5">
        <w:rPr>
          <w:rFonts w:ascii="MinionPro-Regular" w:hAnsi="MinionPro-Regular" w:cs="MinionPro-Regular"/>
          <w:sz w:val="28"/>
          <w:szCs w:val="28"/>
        </w:rPr>
        <w:t>.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Vitamin B12 and folate concentrations can be measured t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>o differentiate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between the two deficiency anemias. </w:t>
      </w:r>
    </w:p>
    <w:p w:rsidR="00D545A6" w:rsidRPr="004F1EC0" w:rsidRDefault="00D545A6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095E24" w:rsidRDefault="00F547FD" w:rsidP="007331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5-</w:t>
      </w:r>
      <w:r w:rsidR="00D545A6">
        <w:rPr>
          <w:rFonts w:ascii="MinionPro-Regular" w:hAnsi="MinionPro-Regular" w:cs="MinionPro-Regular"/>
          <w:sz w:val="28"/>
          <w:szCs w:val="28"/>
        </w:rPr>
        <w:t xml:space="preserve">In </w:t>
      </w:r>
      <w:bookmarkStart w:id="0" w:name="_GoBack"/>
      <w:bookmarkEnd w:id="0"/>
      <w:r w:rsidR="00E318A5" w:rsidRPr="0096107B">
        <w:rPr>
          <w:rFonts w:ascii="MinionPro-Regular" w:hAnsi="MinionPro-Regular" w:cs="MinionPro-Regular"/>
          <w:sz w:val="28"/>
          <w:szCs w:val="28"/>
        </w:rPr>
        <w:t>AI,</w:t>
      </w:r>
      <w:r w:rsidR="00D545A6">
        <w:rPr>
          <w:rFonts w:ascii="MinionPro-Regular" w:hAnsi="MinionPro-Regular" w:cs="MinionPro-Regular"/>
          <w:sz w:val="28"/>
          <w:szCs w:val="28"/>
        </w:rPr>
        <w:t xml:space="preserve"> </w:t>
      </w:r>
      <w:r w:rsidR="00D545A6" w:rsidRPr="00BB2709">
        <w:rPr>
          <w:rFonts w:ascii="MinionPro-Regular" w:hAnsi="MinionPro-Regular" w:cs="MinionPro-Regular"/>
          <w:b/>
          <w:bCs/>
          <w:sz w:val="28"/>
          <w:szCs w:val="28"/>
        </w:rPr>
        <w:t>s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erum iron is usually decreased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, but, unlike IDA,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serum</w:t>
      </w: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ferritin is normal or </w:t>
      </w:r>
      <w:r w:rsidR="00FB1F19" w:rsidRPr="0073311B">
        <w:rPr>
          <w:rFonts w:ascii="MinionPro-Regular" w:hAnsi="MinionPro-Regular" w:cs="MinionPro-Regular"/>
          <w:b/>
          <w:bCs/>
          <w:sz w:val="28"/>
          <w:szCs w:val="28"/>
        </w:rPr>
        <w:t>increased</w:t>
      </w:r>
      <w:r w:rsidR="0073311B" w:rsidRPr="0073311B">
        <w:rPr>
          <w:rFonts w:ascii="MinionPro-Regular" w:hAnsi="MinionPro-Regular" w:cs="MinionPro-Regular"/>
          <w:sz w:val="28"/>
          <w:szCs w:val="28"/>
        </w:rPr>
        <w:t>.</w:t>
      </w:r>
      <w:r w:rsidR="00FB1F19" w:rsidRPr="0073311B">
        <w:rPr>
          <w:rFonts w:ascii="MinionPro-Regular" w:hAnsi="MinionPro-Regular" w:cs="MinionPro-Regular"/>
          <w:sz w:val="28"/>
          <w:szCs w:val="28"/>
        </w:rPr>
        <w:t xml:space="preserve"> </w:t>
      </w:r>
      <w:r w:rsidR="0073311B">
        <w:rPr>
          <w:rFonts w:ascii="MinionPro-Regular" w:hAnsi="MinionPro-Regular" w:cs="MinionPro-Regular"/>
          <w:sz w:val="28"/>
          <w:szCs w:val="28"/>
        </w:rPr>
        <w:t>T</w:t>
      </w:r>
      <w:r w:rsidR="00FB1F19" w:rsidRPr="0073311B">
        <w:rPr>
          <w:rFonts w:ascii="MinionPro-Regular" w:hAnsi="MinionPro-Regular" w:cs="MinionPro-Regular"/>
          <w:sz w:val="28"/>
          <w:szCs w:val="28"/>
        </w:rPr>
        <w:t xml:space="preserve">he peripheral smear reveals </w:t>
      </w:r>
      <w:r w:rsidR="00FB1F19" w:rsidRPr="0073311B">
        <w:rPr>
          <w:rFonts w:ascii="MinionPro-Regular" w:hAnsi="MinionPro-Regular" w:cs="MinionPro-Regular"/>
          <w:b/>
          <w:bCs/>
          <w:sz w:val="28"/>
          <w:szCs w:val="28"/>
        </w:rPr>
        <w:t>normocytic anemia</w:t>
      </w:r>
      <w:r w:rsidR="00FB1F19" w:rsidRPr="0073311B">
        <w:rPr>
          <w:rFonts w:ascii="MinionPro-Regular" w:hAnsi="MinionPro-Regular" w:cs="MinionPro-Regular"/>
          <w:sz w:val="28"/>
          <w:szCs w:val="28"/>
        </w:rPr>
        <w:t>.</w:t>
      </w:r>
    </w:p>
    <w:p w:rsidR="00FB1F19" w:rsidRPr="004F1EC0" w:rsidRDefault="00FB1F19" w:rsidP="00FB1F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73311B" w:rsidRDefault="0073311B" w:rsidP="00D71D08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FB1F19" w:rsidRDefault="00FB1F19" w:rsidP="0073311B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 xml:space="preserve">Treatment </w:t>
      </w:r>
    </w:p>
    <w:p w:rsidR="00FB1F19" w:rsidRPr="0096107B" w:rsidRDefault="00FB1F19" w:rsidP="00BB27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color w:val="000000"/>
          <w:sz w:val="28"/>
          <w:szCs w:val="28"/>
        </w:rPr>
      </w:pPr>
      <w:r w:rsidRPr="00BB2709">
        <w:rPr>
          <w:rFonts w:ascii="MinionPro-Regular" w:hAnsi="MinionPro-Regular" w:cs="MinionPro-Regular"/>
          <w:b/>
          <w:bCs/>
          <w:color w:val="000000"/>
          <w:sz w:val="28"/>
          <w:szCs w:val="28"/>
        </w:rPr>
        <w:t>Goals of Treatment</w:t>
      </w:r>
      <w:r w:rsidRPr="0096107B">
        <w:rPr>
          <w:rFonts w:ascii="MinionPro-Regular" w:hAnsi="MinionPro-Regular" w:cs="MinionPro-Regular"/>
          <w:color w:val="000000"/>
          <w:sz w:val="28"/>
          <w:szCs w:val="28"/>
        </w:rPr>
        <w:t xml:space="preserve">: </w:t>
      </w:r>
      <w:r w:rsidRPr="00095E24">
        <w:rPr>
          <w:rFonts w:ascii="MinionPro-Regular" w:hAnsi="MinionPro-Regular" w:cs="MinionPro-Regular"/>
          <w:sz w:val="28"/>
          <w:szCs w:val="28"/>
        </w:rPr>
        <w:t>The</w:t>
      </w:r>
      <w:r w:rsidRPr="0096107B">
        <w:rPr>
          <w:rFonts w:ascii="MinionPro-Regular" w:hAnsi="MinionPro-Regular" w:cs="MinionPro-Regular"/>
          <w:color w:val="000000"/>
          <w:sz w:val="28"/>
          <w:szCs w:val="28"/>
        </w:rPr>
        <w:t xml:space="preserve"> goals are to return hematologic parameters to normal,</w:t>
      </w:r>
      <w:r w:rsidR="00BB2709">
        <w:rPr>
          <w:rFonts w:ascii="MinionPro-Regular" w:hAnsi="MinionPro-Regular" w:cs="MinionPro-Regular"/>
          <w:color w:val="000000"/>
          <w:sz w:val="28"/>
          <w:szCs w:val="28"/>
        </w:rPr>
        <w:t xml:space="preserve"> </w:t>
      </w:r>
      <w:r w:rsidRPr="0096107B">
        <w:rPr>
          <w:rFonts w:ascii="MinionPro-Regular" w:hAnsi="MinionPro-Regular" w:cs="MinionPro-Regular"/>
          <w:color w:val="000000"/>
          <w:sz w:val="28"/>
          <w:szCs w:val="28"/>
        </w:rPr>
        <w:t xml:space="preserve">restore normal function </w:t>
      </w:r>
      <w:r w:rsidRPr="00095E24">
        <w:rPr>
          <w:rFonts w:ascii="MinionPro-Regular" w:hAnsi="MinionPro-Regular" w:cs="MinionPro-Regular"/>
          <w:sz w:val="28"/>
          <w:szCs w:val="28"/>
        </w:rPr>
        <w:t>and</w:t>
      </w:r>
      <w:r w:rsidRPr="0096107B">
        <w:rPr>
          <w:rFonts w:ascii="MinionPro-Regular" w:hAnsi="MinionPro-Regular" w:cs="MinionPro-Regular"/>
          <w:color w:val="000000"/>
          <w:sz w:val="28"/>
          <w:szCs w:val="28"/>
        </w:rPr>
        <w:t xml:space="preserve"> quality of life, and prevent long-term complications.</w:t>
      </w:r>
    </w:p>
    <w:p w:rsidR="00FB1F19" w:rsidRPr="004F1EC0" w:rsidRDefault="00FB1F19" w:rsidP="004F1EC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057BC7" w:rsidRDefault="00F547FD" w:rsidP="00D71D08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CC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CC"/>
          <w:sz w:val="32"/>
          <w:szCs w:val="32"/>
        </w:rPr>
        <w:t>I</w:t>
      </w:r>
      <w:r w:rsidR="00057BC7" w:rsidRPr="00057BC7">
        <w:rPr>
          <w:rFonts w:asciiTheme="majorBidi" w:hAnsiTheme="majorBidi" w:cstheme="majorBidi"/>
          <w:b/>
          <w:bCs/>
          <w:color w:val="0000CC"/>
          <w:sz w:val="32"/>
          <w:szCs w:val="32"/>
        </w:rPr>
        <w:t>ron-deficiency anemia</w:t>
      </w:r>
    </w:p>
    <w:p w:rsidR="00FB1F19" w:rsidRPr="00095E24" w:rsidRDefault="00BB2709" w:rsidP="00BB27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1-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Oral iron therapy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 with soluble ferrous iron salts, which are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not enteric coated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 and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not</w:t>
      </w: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slow or sustained release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, is recommended at a daily dosage of 150–200 mg elemental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iron in two or three divided doses.</w:t>
      </w:r>
    </w:p>
    <w:p w:rsidR="00FB1F19" w:rsidRPr="004F1EC0" w:rsidRDefault="00FB1F19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BB2709" w:rsidRDefault="00BB2709" w:rsidP="00BB27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b/>
          <w:bCs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2-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Iron is best absorbed from meat, fish, and poultry.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Administer iron at least 1 hour</w:t>
      </w: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before meals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 because food interferes with absorption, but administration with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food</w:t>
      </w:r>
      <w:r w:rsidRPr="00BB2709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may be needed to improve tolerability.</w:t>
      </w:r>
    </w:p>
    <w:p w:rsidR="00057BC7" w:rsidRPr="004F1EC0" w:rsidRDefault="00057BC7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96107B" w:rsidRDefault="00BB2709" w:rsidP="00383CD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3-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Consider </w:t>
      </w:r>
      <w:r w:rsidR="00FB1F19" w:rsidRPr="00BB2709">
        <w:rPr>
          <w:rFonts w:ascii="MinionPro-Regular" w:hAnsi="MinionPro-Regular" w:cs="MinionPro-Regular"/>
          <w:b/>
          <w:bCs/>
          <w:sz w:val="28"/>
          <w:szCs w:val="28"/>
        </w:rPr>
        <w:t>parenteral iron for patients with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 iron malabsorption, intolerance of oral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96107B">
        <w:rPr>
          <w:rFonts w:ascii="MinionPro-Regular" w:hAnsi="MinionPro-Regular" w:cs="MinionPro-Regular"/>
          <w:sz w:val="28"/>
          <w:szCs w:val="28"/>
        </w:rPr>
        <w:t xml:space="preserve">iron therapy, or nonadherence. </w:t>
      </w:r>
    </w:p>
    <w:p w:rsidR="00BB2709" w:rsidRPr="004F1EC0" w:rsidRDefault="00BB2709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095E24" w:rsidRDefault="0091402D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4</w:t>
      </w:r>
      <w:r w:rsidR="004F1EC0">
        <w:rPr>
          <w:rFonts w:ascii="MinionPro-Regular" w:hAnsi="MinionPro-Regular" w:cs="MinionPro-Regular"/>
          <w:sz w:val="28"/>
          <w:szCs w:val="28"/>
        </w:rPr>
        <w:t>-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Iron dextran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, sodium ferric gluconate,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iron sucrose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, ferumoxytol, and ferric</w:t>
      </w:r>
      <w:r w:rsidR="004F1EC0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carboxymaltose are available parenteral iron preparations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with similar efficacy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 but</w:t>
      </w:r>
      <w:r w:rsidR="004F1EC0"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different pharmacokinetics, bioavailability, and </w:t>
      </w:r>
      <w:r w:rsidR="00FB1F19" w:rsidRPr="00DE5B87">
        <w:rPr>
          <w:rFonts w:ascii="MinionPro-Regular" w:hAnsi="MinionPro-Regular" w:cs="MinionPro-Regular"/>
          <w:b/>
          <w:bCs/>
          <w:sz w:val="28"/>
          <w:szCs w:val="28"/>
        </w:rPr>
        <w:t>adverse effect profiles</w:t>
      </w:r>
      <w:r w:rsidR="00DE5B87">
        <w:rPr>
          <w:rFonts w:ascii="MinionPro-Regular" w:hAnsi="MinionPro-Regular" w:cs="MinionPro-Regular"/>
          <w:sz w:val="28"/>
          <w:szCs w:val="28"/>
        </w:rPr>
        <w:t>.</w:t>
      </w:r>
    </w:p>
    <w:p w:rsidR="00057BC7" w:rsidRPr="004F1EC0" w:rsidRDefault="00057BC7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057BC7" w:rsidRDefault="004F1EC0" w:rsidP="00D71D08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CC"/>
          <w:sz w:val="32"/>
          <w:szCs w:val="32"/>
        </w:rPr>
      </w:pPr>
      <w:r w:rsidRPr="00057BC7">
        <w:rPr>
          <w:rFonts w:asciiTheme="majorBidi" w:hAnsiTheme="majorBidi" w:cstheme="majorBidi"/>
          <w:b/>
          <w:bCs/>
          <w:color w:val="0000CC"/>
          <w:sz w:val="32"/>
          <w:szCs w:val="32"/>
        </w:rPr>
        <w:t>Vitamin</w:t>
      </w:r>
      <w:r>
        <w:rPr>
          <w:rFonts w:asciiTheme="majorBidi" w:hAnsiTheme="majorBidi" w:cstheme="majorBidi"/>
          <w:b/>
          <w:bCs/>
          <w:color w:val="0000CC"/>
          <w:sz w:val="32"/>
          <w:szCs w:val="32"/>
        </w:rPr>
        <w:t xml:space="preserve"> B</w:t>
      </w:r>
      <w:r w:rsidRPr="00057BC7">
        <w:rPr>
          <w:rFonts w:asciiTheme="majorBidi" w:hAnsiTheme="majorBidi" w:cstheme="majorBidi"/>
          <w:b/>
          <w:bCs/>
          <w:color w:val="0000CC"/>
          <w:sz w:val="32"/>
          <w:szCs w:val="32"/>
        </w:rPr>
        <w:t>12</w:t>
      </w:r>
      <w:r w:rsidRPr="00057BC7">
        <w:rPr>
          <w:rFonts w:asciiTheme="majorBidi" w:hAnsiTheme="majorBidi" w:cstheme="majorBidi" w:hint="eastAsia"/>
          <w:b/>
          <w:bCs/>
          <w:color w:val="0000CC"/>
          <w:sz w:val="32"/>
          <w:szCs w:val="32"/>
        </w:rPr>
        <w:t>–</w:t>
      </w:r>
      <w:r w:rsidRPr="00057BC7">
        <w:rPr>
          <w:rFonts w:asciiTheme="majorBidi" w:hAnsiTheme="majorBidi" w:cstheme="majorBidi"/>
          <w:b/>
          <w:bCs/>
          <w:color w:val="0000CC"/>
          <w:sz w:val="32"/>
          <w:szCs w:val="32"/>
        </w:rPr>
        <w:t>deficiency anemia</w:t>
      </w:r>
    </w:p>
    <w:p w:rsidR="00FB1F19" w:rsidRPr="0096107B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color w:val="000000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1-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Oral vitamin B12 supplementation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 is as effective as parenteral, even in patients with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pernicious anemia, because the alternate vitamin B12 absorption pathway is independent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of intrinsic factor. </w:t>
      </w:r>
    </w:p>
    <w:p w:rsidR="00057BC7" w:rsidRPr="004F1EC0" w:rsidRDefault="00057BC7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095E24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2-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Parenteral therapy acts more rapidly than oral therapy and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is recommended if</w:t>
      </w:r>
      <w:r w:rsidRPr="004F1EC0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neurologic symptoms are present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. Initiate daily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oral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 cobalamin administration after symptoms resolve.</w:t>
      </w:r>
    </w:p>
    <w:p w:rsidR="004F1EC0" w:rsidRPr="004F1EC0" w:rsidRDefault="004F1EC0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095E24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3-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Continue vitamin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B12 for life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 in patients with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pernicious anemia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.</w:t>
      </w:r>
    </w:p>
    <w:p w:rsidR="00057BC7" w:rsidRPr="004F1EC0" w:rsidRDefault="00057BC7" w:rsidP="00057BC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057BC7" w:rsidRDefault="004F1EC0" w:rsidP="00D71D08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CC"/>
          <w:sz w:val="32"/>
          <w:szCs w:val="32"/>
        </w:rPr>
      </w:pPr>
      <w:r w:rsidRPr="00057BC7">
        <w:rPr>
          <w:rFonts w:asciiTheme="majorBidi" w:hAnsiTheme="majorBidi" w:cstheme="majorBidi"/>
          <w:b/>
          <w:bCs/>
          <w:color w:val="0000CC"/>
          <w:sz w:val="32"/>
          <w:szCs w:val="32"/>
        </w:rPr>
        <w:t>Folate-deficiency anemia</w:t>
      </w:r>
    </w:p>
    <w:p w:rsidR="00057BC7" w:rsidRPr="00095E24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1-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Oral folic acid, 1 mg daily for 4 months, is usually sufficient for treatment of folic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acid–deficiency anemia, unless the etiology cannot be corrected. </w:t>
      </w:r>
    </w:p>
    <w:p w:rsidR="00057BC7" w:rsidRPr="004F1EC0" w:rsidRDefault="00057BC7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96107B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color w:val="000000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2-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If malabsorption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is present, a dose of 1–5 mg daily may be necessary. Parenteral folic acid is available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but rarely necessary</w:t>
      </w:r>
      <w:r w:rsidR="00FB1F19" w:rsidRPr="0096107B">
        <w:rPr>
          <w:rFonts w:ascii="MinionPro-Regular" w:hAnsi="MinionPro-Regular" w:cs="MinionPro-Regular"/>
          <w:color w:val="000000"/>
          <w:sz w:val="28"/>
          <w:szCs w:val="28"/>
        </w:rPr>
        <w:t>.</w:t>
      </w:r>
    </w:p>
    <w:p w:rsidR="00057BC7" w:rsidRPr="004F1EC0" w:rsidRDefault="00057BC7" w:rsidP="00057BC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057BC7" w:rsidRDefault="004F1EC0" w:rsidP="00D71D08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CC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CC"/>
          <w:sz w:val="32"/>
          <w:szCs w:val="32"/>
        </w:rPr>
        <w:t>A</w:t>
      </w:r>
      <w:r w:rsidRPr="00057BC7">
        <w:rPr>
          <w:rFonts w:asciiTheme="majorBidi" w:hAnsiTheme="majorBidi" w:cstheme="majorBidi"/>
          <w:b/>
          <w:bCs/>
          <w:color w:val="0000CC"/>
          <w:sz w:val="32"/>
          <w:szCs w:val="32"/>
        </w:rPr>
        <w:t>nemia of inflammation</w:t>
      </w:r>
    </w:p>
    <w:p w:rsidR="00FB1F19" w:rsidRPr="00095E24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1-T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reatment of AI is less specific than that of other anemias and should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focus on correcting</w:t>
      </w:r>
      <w:r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reversible causes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. Reserve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iron therapy for an established IDA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;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iron is not</w:t>
      </w:r>
      <w:r w:rsidRPr="004F1EC0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effective when inflammation is present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. RBC transfusions are effective but should be</w:t>
      </w:r>
    </w:p>
    <w:p w:rsidR="00FB1F19" w:rsidRPr="00095E24" w:rsidRDefault="00FB1F19" w:rsidP="0091402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 w:rsidRPr="00095E24">
        <w:rPr>
          <w:rFonts w:ascii="MinionPro-Regular" w:hAnsi="MinionPro-Regular" w:cs="MinionPro-Regular"/>
          <w:sz w:val="28"/>
          <w:szCs w:val="28"/>
        </w:rPr>
        <w:t>limited to Hb of 7–8 g/dL.</w:t>
      </w:r>
    </w:p>
    <w:p w:rsidR="00F1176F" w:rsidRPr="004F1EC0" w:rsidRDefault="00F1176F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095E24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2-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Erythropoiesis-stimulating agents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 (ESAs) can be considered, but response can be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impaired in patients with AI. Iron, cobalamin,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and folic acid supplementation may improve response to ESA treatment.</w:t>
      </w:r>
    </w:p>
    <w:p w:rsidR="004F1EC0" w:rsidRPr="004F1EC0" w:rsidRDefault="004F1EC0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96107B" w:rsidRPr="0096107B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3-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 xml:space="preserve">Potential toxicities of exogenous ESA administration include </w:t>
      </w:r>
      <w:r w:rsidR="00FB1F19" w:rsidRPr="004F1EC0">
        <w:rPr>
          <w:rFonts w:ascii="MinionPro-Regular" w:hAnsi="MinionPro-Regular" w:cs="MinionPro-Regular"/>
          <w:b/>
          <w:bCs/>
          <w:sz w:val="28"/>
          <w:szCs w:val="28"/>
        </w:rPr>
        <w:t>increases in blood pressure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,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FB1F19" w:rsidRPr="00095E24">
        <w:rPr>
          <w:rFonts w:ascii="MinionPro-Regular" w:hAnsi="MinionPro-Regular" w:cs="MinionPro-Regular"/>
          <w:sz w:val="28"/>
          <w:szCs w:val="28"/>
        </w:rPr>
        <w:t>nausea, headache, fever, bone pain, and fatigue. Hb must be monitored during</w:t>
      </w:r>
      <w:r w:rsidR="0096107B" w:rsidRPr="00095E24">
        <w:rPr>
          <w:rFonts w:ascii="MinionPro-Regular" w:hAnsi="MinionPro-Regular" w:cs="MinionPro-Regular"/>
          <w:sz w:val="28"/>
          <w:szCs w:val="28"/>
        </w:rPr>
        <w:t xml:space="preserve"> </w:t>
      </w:r>
      <w:r w:rsidR="0096107B" w:rsidRPr="0096107B">
        <w:rPr>
          <w:rFonts w:ascii="MinionPro-Regular" w:hAnsi="MinionPro-Regular" w:cs="MinionPro-Regular"/>
          <w:sz w:val="28"/>
          <w:szCs w:val="28"/>
        </w:rPr>
        <w:t xml:space="preserve">ESA therapy. </w:t>
      </w:r>
      <w:r w:rsidR="0096107B" w:rsidRPr="004F1EC0">
        <w:rPr>
          <w:rFonts w:ascii="MinionPro-Regular" w:hAnsi="MinionPro-Regular" w:cs="MinionPro-Regular"/>
          <w:b/>
          <w:bCs/>
          <w:sz w:val="28"/>
          <w:szCs w:val="28"/>
        </w:rPr>
        <w:t>An increase in Hb greater than 12 g/dL with</w:t>
      </w:r>
      <w:r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96107B" w:rsidRPr="004F1EC0">
        <w:rPr>
          <w:rFonts w:ascii="MinionPro-Regular" w:hAnsi="MinionPro-Regular" w:cs="MinionPro-Regular"/>
          <w:b/>
          <w:bCs/>
          <w:sz w:val="28"/>
          <w:szCs w:val="28"/>
        </w:rPr>
        <w:t xml:space="preserve">treatment or a rise of </w:t>
      </w:r>
      <w:r w:rsidR="0096107B" w:rsidRPr="004F1EC0">
        <w:rPr>
          <w:rFonts w:ascii="MinionPro-Regular" w:hAnsi="MinionPro-Regular" w:cs="MinionPro-Regular"/>
          <w:b/>
          <w:bCs/>
          <w:sz w:val="28"/>
          <w:szCs w:val="28"/>
        </w:rPr>
        <w:lastRenderedPageBreak/>
        <w:t>greater than 1 g/dL every 2 weeks has</w:t>
      </w:r>
      <w:r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96107B" w:rsidRPr="004F1EC0">
        <w:rPr>
          <w:rFonts w:ascii="MinionPro-Regular" w:hAnsi="MinionPro-Regular" w:cs="MinionPro-Regular"/>
          <w:b/>
          <w:bCs/>
          <w:sz w:val="28"/>
          <w:szCs w:val="28"/>
        </w:rPr>
        <w:t>been associated with increased mortality and cardiovascular events</w:t>
      </w:r>
      <w:r w:rsidR="0096107B" w:rsidRPr="0096107B">
        <w:rPr>
          <w:rFonts w:ascii="MinionPro-Regular" w:hAnsi="MinionPro-Regular" w:cs="MinionPro-Regular"/>
          <w:sz w:val="28"/>
          <w:szCs w:val="28"/>
        </w:rPr>
        <w:t>.</w:t>
      </w:r>
    </w:p>
    <w:p w:rsidR="004F1EC0" w:rsidRPr="004F1EC0" w:rsidRDefault="004F1EC0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96107B" w:rsidRPr="0096107B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4-</w:t>
      </w:r>
      <w:r w:rsidR="0096107B" w:rsidRPr="0096107B">
        <w:rPr>
          <w:rFonts w:ascii="MinionPro-Regular" w:hAnsi="MinionPro-Regular" w:cs="MinionPro-Regular"/>
          <w:sz w:val="28"/>
          <w:szCs w:val="28"/>
        </w:rPr>
        <w:t xml:space="preserve">In patients with anemia of </w:t>
      </w:r>
      <w:r w:rsidR="0096107B" w:rsidRPr="004F1EC0">
        <w:rPr>
          <w:rFonts w:ascii="MinionPro-Regular" w:hAnsi="MinionPro-Regular" w:cs="MinionPro-Regular"/>
          <w:b/>
          <w:bCs/>
          <w:sz w:val="28"/>
          <w:szCs w:val="28"/>
        </w:rPr>
        <w:t>critical illness</w:t>
      </w:r>
      <w:r w:rsidR="0096107B" w:rsidRPr="0096107B">
        <w:rPr>
          <w:rFonts w:ascii="MinionPro-Regular" w:hAnsi="MinionPro-Regular" w:cs="MinionPro-Regular"/>
          <w:sz w:val="28"/>
          <w:szCs w:val="28"/>
        </w:rPr>
        <w:t xml:space="preserve">, </w:t>
      </w:r>
      <w:r w:rsidR="0096107B" w:rsidRPr="004F1EC0">
        <w:rPr>
          <w:rFonts w:ascii="MinionPro-Regular" w:hAnsi="MinionPro-Regular" w:cs="MinionPro-Regular"/>
          <w:b/>
          <w:bCs/>
          <w:sz w:val="28"/>
          <w:szCs w:val="28"/>
        </w:rPr>
        <w:t>parenteral iron</w:t>
      </w:r>
      <w:r w:rsidR="0096107B" w:rsidRPr="0096107B">
        <w:rPr>
          <w:rFonts w:ascii="MinionPro-Regular" w:hAnsi="MinionPro-Regular" w:cs="MinionPro-Regular"/>
          <w:sz w:val="28"/>
          <w:szCs w:val="28"/>
        </w:rPr>
        <w:t xml:space="preserve"> is often used but is associated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96107B" w:rsidRPr="0096107B">
        <w:rPr>
          <w:rFonts w:ascii="MinionPro-Regular" w:hAnsi="MinionPro-Regular" w:cs="MinionPro-Regular"/>
          <w:sz w:val="28"/>
          <w:szCs w:val="28"/>
        </w:rPr>
        <w:t xml:space="preserve">with </w:t>
      </w:r>
      <w:r w:rsidR="0096107B" w:rsidRPr="004F1EC0">
        <w:rPr>
          <w:rFonts w:ascii="MinionPro-Regular" w:hAnsi="MinionPro-Regular" w:cs="MinionPro-Regular"/>
          <w:b/>
          <w:bCs/>
          <w:sz w:val="28"/>
          <w:szCs w:val="28"/>
        </w:rPr>
        <w:t>a theoretical risk of infection.</w:t>
      </w:r>
    </w:p>
    <w:p w:rsidR="00057BC7" w:rsidRPr="004F1EC0" w:rsidRDefault="00057BC7" w:rsidP="00057BC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96107B" w:rsidRPr="00057BC7" w:rsidRDefault="004F1EC0" w:rsidP="00D71D08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CC"/>
          <w:sz w:val="32"/>
          <w:szCs w:val="32"/>
        </w:rPr>
      </w:pPr>
      <w:r w:rsidRPr="00057BC7">
        <w:rPr>
          <w:rFonts w:asciiTheme="majorBidi" w:hAnsiTheme="majorBidi" w:cstheme="majorBidi"/>
          <w:b/>
          <w:bCs/>
          <w:color w:val="0000CC"/>
          <w:sz w:val="32"/>
          <w:szCs w:val="32"/>
        </w:rPr>
        <w:t>Anemia</w:t>
      </w:r>
      <w:r>
        <w:rPr>
          <w:rFonts w:asciiTheme="majorBidi" w:hAnsiTheme="majorBidi" w:cstheme="majorBidi"/>
          <w:b/>
          <w:bCs/>
          <w:color w:val="0000CC"/>
          <w:sz w:val="32"/>
          <w:szCs w:val="32"/>
        </w:rPr>
        <w:t xml:space="preserve"> </w:t>
      </w:r>
      <w:r w:rsidRPr="00057BC7">
        <w:rPr>
          <w:rFonts w:asciiTheme="majorBidi" w:hAnsiTheme="majorBidi" w:cstheme="majorBidi"/>
          <w:b/>
          <w:bCs/>
          <w:color w:val="0000CC"/>
          <w:sz w:val="32"/>
          <w:szCs w:val="32"/>
        </w:rPr>
        <w:t>in pediatric populations</w:t>
      </w:r>
    </w:p>
    <w:p w:rsidR="00057BC7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1</w:t>
      </w:r>
      <w:r w:rsidRPr="004F1EC0">
        <w:rPr>
          <w:rFonts w:ascii="MinionPro-Regular" w:hAnsi="MinionPro-Regular" w:cs="MinionPro-Regular"/>
          <w:b/>
          <w:bCs/>
          <w:sz w:val="28"/>
          <w:szCs w:val="28"/>
        </w:rPr>
        <w:t>-</w:t>
      </w:r>
      <w:r w:rsidR="0096107B" w:rsidRPr="004F1EC0">
        <w:rPr>
          <w:rFonts w:ascii="MinionPro-Regular" w:hAnsi="MinionPro-Regular" w:cs="MinionPro-Regular"/>
          <w:b/>
          <w:bCs/>
          <w:sz w:val="28"/>
          <w:szCs w:val="28"/>
        </w:rPr>
        <w:t>Infants aged 9–12 months:</w:t>
      </w:r>
      <w:r w:rsidR="0096107B" w:rsidRPr="0096107B">
        <w:rPr>
          <w:rFonts w:ascii="MinionPro-Regular" w:hAnsi="MinionPro-Regular" w:cs="MinionPro-Regular"/>
          <w:sz w:val="28"/>
          <w:szCs w:val="28"/>
        </w:rPr>
        <w:t xml:space="preserve"> Administer ferrous sulfate 3–6 mg/kg/day (elemental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96107B" w:rsidRPr="0096107B">
        <w:rPr>
          <w:rFonts w:ascii="MinionPro-Regular" w:hAnsi="MinionPro-Regular" w:cs="MinionPro-Regular"/>
          <w:sz w:val="28"/>
          <w:szCs w:val="28"/>
        </w:rPr>
        <w:t>iron) divided once or twice daily between meals for 4 weeks. Continue for two additional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96107B" w:rsidRPr="0096107B">
        <w:rPr>
          <w:rFonts w:ascii="MinionPro-Regular" w:hAnsi="MinionPro-Regular" w:cs="MinionPro-Regular"/>
          <w:sz w:val="28"/>
          <w:szCs w:val="28"/>
        </w:rPr>
        <w:t xml:space="preserve">months in responders to replace storage iron pools. </w:t>
      </w:r>
    </w:p>
    <w:p w:rsidR="00057BC7" w:rsidRPr="004F1EC0" w:rsidRDefault="00057BC7" w:rsidP="00095E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FB1F19" w:rsidRPr="00095E24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2-</w:t>
      </w:r>
      <w:r w:rsidR="0096107B" w:rsidRPr="0096107B">
        <w:rPr>
          <w:rFonts w:ascii="MinionPro-Regular" w:hAnsi="MinionPro-Regular" w:cs="MinionPro-Regular"/>
          <w:sz w:val="28"/>
          <w:szCs w:val="28"/>
        </w:rPr>
        <w:t>The dose and schedule of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96107B" w:rsidRPr="0096107B">
        <w:rPr>
          <w:rFonts w:ascii="MinionPro-Regular" w:hAnsi="MinionPro-Regular" w:cs="MinionPro-Regular"/>
          <w:sz w:val="28"/>
          <w:szCs w:val="28"/>
        </w:rPr>
        <w:t>vitamin B12 should be titrated according to clinical and laboratory response. The daily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96107B" w:rsidRPr="0096107B">
        <w:rPr>
          <w:rFonts w:ascii="MinionPro-Regular" w:hAnsi="MinionPro-Regular" w:cs="MinionPro-Regular"/>
          <w:sz w:val="28"/>
          <w:szCs w:val="28"/>
        </w:rPr>
        <w:t>dose of folic acid is 1 mg.</w:t>
      </w:r>
    </w:p>
    <w:p w:rsidR="004F1EC0" w:rsidRPr="004F1EC0" w:rsidRDefault="004F1EC0" w:rsidP="00FB1F1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4F1EC0" w:rsidRDefault="00022299" w:rsidP="00D71D08">
      <w:pPr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F1EC0">
        <w:rPr>
          <w:rFonts w:asciiTheme="majorBidi" w:hAnsiTheme="majorBidi" w:cstheme="majorBidi"/>
          <w:b/>
          <w:bCs/>
          <w:color w:val="FF0000"/>
          <w:sz w:val="32"/>
          <w:szCs w:val="32"/>
        </w:rPr>
        <w:t>Evaluation of therapeutic outcomes</w:t>
      </w:r>
    </w:p>
    <w:p w:rsidR="0096107B" w:rsidRPr="00057BC7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1-</w:t>
      </w:r>
      <w:r w:rsidR="0096107B" w:rsidRPr="00057BC7">
        <w:rPr>
          <w:rFonts w:ascii="MinionPro-Regular" w:hAnsi="MinionPro-Regular" w:cs="MinionPro-Regular"/>
          <w:sz w:val="28"/>
          <w:szCs w:val="28"/>
        </w:rPr>
        <w:t xml:space="preserve">IDA: Positive response to oral iron therapy is characterized by an increase in Hb </w:t>
      </w:r>
      <w:r w:rsidR="0096107B" w:rsidRPr="004F1EC0">
        <w:rPr>
          <w:rFonts w:ascii="MinionPro-Regular" w:hAnsi="MinionPro-Regular" w:cs="MinionPro-Regular"/>
          <w:b/>
          <w:bCs/>
          <w:sz w:val="28"/>
          <w:szCs w:val="28"/>
        </w:rPr>
        <w:t>seen at 2 weeks</w:t>
      </w:r>
      <w:r w:rsidR="0096107B" w:rsidRPr="00057BC7">
        <w:rPr>
          <w:rFonts w:ascii="MinionPro-Regular" w:hAnsi="MinionPro-Regular" w:cs="MinionPro-Regular"/>
          <w:sz w:val="28"/>
          <w:szCs w:val="28"/>
        </w:rPr>
        <w:t xml:space="preserve">. Hb should return to normal after 2 months; </w:t>
      </w:r>
      <w:r w:rsidR="0096107B" w:rsidRPr="004F1EC0">
        <w:rPr>
          <w:rFonts w:ascii="MinionPro-Regular" w:hAnsi="MinionPro-Regular" w:cs="MinionPro-Regular"/>
          <w:b/>
          <w:bCs/>
          <w:sz w:val="28"/>
          <w:szCs w:val="28"/>
        </w:rPr>
        <w:t>continue</w:t>
      </w:r>
      <w:r w:rsidRPr="004F1EC0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  <w:r w:rsidR="0096107B" w:rsidRPr="004F1EC0">
        <w:rPr>
          <w:rFonts w:ascii="MinionPro-Regular" w:hAnsi="MinionPro-Regular" w:cs="MinionPro-Regular"/>
          <w:b/>
          <w:bCs/>
          <w:sz w:val="28"/>
          <w:szCs w:val="28"/>
        </w:rPr>
        <w:t>iron therapy until iron stores are replenished and serum ferritin normalized</w:t>
      </w:r>
      <w:r w:rsidR="0096107B" w:rsidRPr="00057BC7">
        <w:rPr>
          <w:rFonts w:ascii="MinionPro-Regular" w:hAnsi="MinionPro-Regular" w:cs="MinionPro-Regular"/>
          <w:sz w:val="28"/>
          <w:szCs w:val="28"/>
        </w:rPr>
        <w:t xml:space="preserve"> (up to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96107B" w:rsidRPr="00057BC7">
        <w:rPr>
          <w:rFonts w:ascii="MinionPro-Regular" w:hAnsi="MinionPro-Regular" w:cs="MinionPro-Regular"/>
          <w:sz w:val="28"/>
          <w:szCs w:val="28"/>
        </w:rPr>
        <w:t>12 months).</w:t>
      </w:r>
    </w:p>
    <w:p w:rsidR="004F1EC0" w:rsidRPr="004F1EC0" w:rsidRDefault="004F1EC0" w:rsidP="004F1EC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96107B" w:rsidRPr="00057BC7" w:rsidRDefault="004F1EC0" w:rsidP="009B275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2-</w:t>
      </w:r>
      <w:r w:rsidR="0096107B" w:rsidRPr="00057BC7">
        <w:rPr>
          <w:rFonts w:ascii="MinionPro-Regular" w:hAnsi="MinionPro-Regular" w:cs="MinionPro-Regular"/>
          <w:sz w:val="28"/>
          <w:szCs w:val="28"/>
        </w:rPr>
        <w:t>Megaloblastic anemia: Signs and symptoms usually improve within a few days after</w:t>
      </w:r>
      <w:r>
        <w:rPr>
          <w:rFonts w:ascii="MinionPro-Regular" w:hAnsi="MinionPro-Regular" w:cs="MinionPro-Regular"/>
          <w:sz w:val="28"/>
          <w:szCs w:val="28"/>
        </w:rPr>
        <w:t xml:space="preserve"> </w:t>
      </w:r>
      <w:r w:rsidR="0096107B" w:rsidRPr="00057BC7">
        <w:rPr>
          <w:rFonts w:ascii="MinionPro-Regular" w:hAnsi="MinionPro-Regular" w:cs="MinionPro-Regular"/>
          <w:sz w:val="28"/>
          <w:szCs w:val="28"/>
        </w:rPr>
        <w:t>starting vitamin B12 or folic acid therapy.</w:t>
      </w:r>
    </w:p>
    <w:p w:rsidR="00057BC7" w:rsidRPr="004F1EC0" w:rsidRDefault="00057BC7" w:rsidP="004F1EC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96107B" w:rsidRDefault="0096107B" w:rsidP="009610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B527DA" w:rsidRPr="0091402D" w:rsidRDefault="00B527DA" w:rsidP="009610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1402D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B527DA" w:rsidRPr="0091402D" w:rsidRDefault="00B527DA" w:rsidP="0091402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91402D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  <w:r w:rsidR="009B275F" w:rsidRPr="0091402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91402D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91402D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Pr="0091402D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 w:rsidRPr="0091402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Edition. 202</w:t>
      </w:r>
      <w:r w:rsidR="0091402D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91402D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sectPr w:rsidR="00B527DA" w:rsidRPr="0091402D" w:rsidSect="004F1EC0">
      <w:footerReference w:type="default" r:id="rId9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46" w:rsidRDefault="008C0146" w:rsidP="009C79FE">
      <w:pPr>
        <w:spacing w:after="0" w:line="240" w:lineRule="auto"/>
      </w:pPr>
      <w:r>
        <w:separator/>
      </w:r>
    </w:p>
  </w:endnote>
  <w:endnote w:type="continuationSeparator" w:id="0">
    <w:p w:rsidR="008C0146" w:rsidRDefault="008C0146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8A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46" w:rsidRDefault="008C0146" w:rsidP="009C79FE">
      <w:pPr>
        <w:spacing w:after="0" w:line="240" w:lineRule="auto"/>
      </w:pPr>
      <w:r>
        <w:separator/>
      </w:r>
    </w:p>
  </w:footnote>
  <w:footnote w:type="continuationSeparator" w:id="0">
    <w:p w:rsidR="008C0146" w:rsidRDefault="008C0146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22299"/>
    <w:rsid w:val="00057BC7"/>
    <w:rsid w:val="000746CE"/>
    <w:rsid w:val="00085EC1"/>
    <w:rsid w:val="00095E24"/>
    <w:rsid w:val="000A0F8D"/>
    <w:rsid w:val="000A39DD"/>
    <w:rsid w:val="000D15E9"/>
    <w:rsid w:val="000D6AAF"/>
    <w:rsid w:val="000F5BCB"/>
    <w:rsid w:val="000F5D8E"/>
    <w:rsid w:val="00126BAA"/>
    <w:rsid w:val="001369C1"/>
    <w:rsid w:val="001467B2"/>
    <w:rsid w:val="00153CB4"/>
    <w:rsid w:val="0018108D"/>
    <w:rsid w:val="001835C9"/>
    <w:rsid w:val="001A0CEA"/>
    <w:rsid w:val="001A4491"/>
    <w:rsid w:val="001B1C18"/>
    <w:rsid w:val="001C18AA"/>
    <w:rsid w:val="001C7900"/>
    <w:rsid w:val="001E6AD2"/>
    <w:rsid w:val="001F3F9F"/>
    <w:rsid w:val="00202D23"/>
    <w:rsid w:val="0023109D"/>
    <w:rsid w:val="00240FC2"/>
    <w:rsid w:val="00253F6E"/>
    <w:rsid w:val="00293D7B"/>
    <w:rsid w:val="002A56DF"/>
    <w:rsid w:val="002F2AC6"/>
    <w:rsid w:val="002F42C5"/>
    <w:rsid w:val="00307E17"/>
    <w:rsid w:val="0031128C"/>
    <w:rsid w:val="00324617"/>
    <w:rsid w:val="00324E72"/>
    <w:rsid w:val="003310D9"/>
    <w:rsid w:val="00337A94"/>
    <w:rsid w:val="00347D77"/>
    <w:rsid w:val="00383CDC"/>
    <w:rsid w:val="00394517"/>
    <w:rsid w:val="003C1E95"/>
    <w:rsid w:val="003D563D"/>
    <w:rsid w:val="003F1A57"/>
    <w:rsid w:val="003F21B7"/>
    <w:rsid w:val="003F5F6F"/>
    <w:rsid w:val="003F7B07"/>
    <w:rsid w:val="00405882"/>
    <w:rsid w:val="00420C39"/>
    <w:rsid w:val="00423E59"/>
    <w:rsid w:val="00430B69"/>
    <w:rsid w:val="00432419"/>
    <w:rsid w:val="00450611"/>
    <w:rsid w:val="0045071B"/>
    <w:rsid w:val="0045125D"/>
    <w:rsid w:val="004722A3"/>
    <w:rsid w:val="004752B9"/>
    <w:rsid w:val="0048401C"/>
    <w:rsid w:val="00487060"/>
    <w:rsid w:val="004A73A6"/>
    <w:rsid w:val="004B2945"/>
    <w:rsid w:val="004B42A8"/>
    <w:rsid w:val="004B6F1E"/>
    <w:rsid w:val="004E1DCC"/>
    <w:rsid w:val="004F1EC0"/>
    <w:rsid w:val="004F663A"/>
    <w:rsid w:val="00510DD8"/>
    <w:rsid w:val="00516926"/>
    <w:rsid w:val="00525FA9"/>
    <w:rsid w:val="005627C5"/>
    <w:rsid w:val="0056453C"/>
    <w:rsid w:val="00583888"/>
    <w:rsid w:val="005A7FF5"/>
    <w:rsid w:val="005B32AA"/>
    <w:rsid w:val="005C3F80"/>
    <w:rsid w:val="005D1A07"/>
    <w:rsid w:val="005D3E7B"/>
    <w:rsid w:val="0062558E"/>
    <w:rsid w:val="0063410E"/>
    <w:rsid w:val="0065062A"/>
    <w:rsid w:val="00653546"/>
    <w:rsid w:val="00655FED"/>
    <w:rsid w:val="00660CED"/>
    <w:rsid w:val="00690A20"/>
    <w:rsid w:val="006D0591"/>
    <w:rsid w:val="00701BAE"/>
    <w:rsid w:val="007061D3"/>
    <w:rsid w:val="00721505"/>
    <w:rsid w:val="00722911"/>
    <w:rsid w:val="00725A0D"/>
    <w:rsid w:val="0073311B"/>
    <w:rsid w:val="007404A7"/>
    <w:rsid w:val="00741490"/>
    <w:rsid w:val="00747F03"/>
    <w:rsid w:val="00761A5B"/>
    <w:rsid w:val="007621C3"/>
    <w:rsid w:val="00773A31"/>
    <w:rsid w:val="007A0A8A"/>
    <w:rsid w:val="007B6004"/>
    <w:rsid w:val="007E68A8"/>
    <w:rsid w:val="007F19A1"/>
    <w:rsid w:val="00804049"/>
    <w:rsid w:val="00804825"/>
    <w:rsid w:val="00816212"/>
    <w:rsid w:val="008939FF"/>
    <w:rsid w:val="008A3B3F"/>
    <w:rsid w:val="008B29AF"/>
    <w:rsid w:val="008B4BC1"/>
    <w:rsid w:val="008C0146"/>
    <w:rsid w:val="008D2536"/>
    <w:rsid w:val="008D5E15"/>
    <w:rsid w:val="008D7966"/>
    <w:rsid w:val="008E28D7"/>
    <w:rsid w:val="0091402D"/>
    <w:rsid w:val="00926008"/>
    <w:rsid w:val="009359FF"/>
    <w:rsid w:val="009608D6"/>
    <w:rsid w:val="0096107B"/>
    <w:rsid w:val="00987645"/>
    <w:rsid w:val="009B0D47"/>
    <w:rsid w:val="009B224B"/>
    <w:rsid w:val="009B275F"/>
    <w:rsid w:val="009C4D71"/>
    <w:rsid w:val="009C79FE"/>
    <w:rsid w:val="009D31BD"/>
    <w:rsid w:val="009E60CC"/>
    <w:rsid w:val="00A012B1"/>
    <w:rsid w:val="00A07CCC"/>
    <w:rsid w:val="00A10A8E"/>
    <w:rsid w:val="00A12584"/>
    <w:rsid w:val="00A130CF"/>
    <w:rsid w:val="00A26085"/>
    <w:rsid w:val="00A4401F"/>
    <w:rsid w:val="00A5155A"/>
    <w:rsid w:val="00A532FE"/>
    <w:rsid w:val="00A7600B"/>
    <w:rsid w:val="00A8009A"/>
    <w:rsid w:val="00A83FB6"/>
    <w:rsid w:val="00A966DA"/>
    <w:rsid w:val="00A969AE"/>
    <w:rsid w:val="00AB66BE"/>
    <w:rsid w:val="00AD10F0"/>
    <w:rsid w:val="00AD3BD4"/>
    <w:rsid w:val="00AD761C"/>
    <w:rsid w:val="00AE1E84"/>
    <w:rsid w:val="00AF560B"/>
    <w:rsid w:val="00B17CB0"/>
    <w:rsid w:val="00B435DF"/>
    <w:rsid w:val="00B503F7"/>
    <w:rsid w:val="00B527DA"/>
    <w:rsid w:val="00B72E59"/>
    <w:rsid w:val="00B75789"/>
    <w:rsid w:val="00B834B0"/>
    <w:rsid w:val="00B94318"/>
    <w:rsid w:val="00BB2709"/>
    <w:rsid w:val="00BD69C4"/>
    <w:rsid w:val="00BD7A27"/>
    <w:rsid w:val="00BE5327"/>
    <w:rsid w:val="00BE6797"/>
    <w:rsid w:val="00BF062B"/>
    <w:rsid w:val="00C2374F"/>
    <w:rsid w:val="00C3347D"/>
    <w:rsid w:val="00C35779"/>
    <w:rsid w:val="00C75F21"/>
    <w:rsid w:val="00CB0602"/>
    <w:rsid w:val="00CD0420"/>
    <w:rsid w:val="00CD44AB"/>
    <w:rsid w:val="00D06001"/>
    <w:rsid w:val="00D06DBA"/>
    <w:rsid w:val="00D16FD5"/>
    <w:rsid w:val="00D20739"/>
    <w:rsid w:val="00D3061F"/>
    <w:rsid w:val="00D35FDB"/>
    <w:rsid w:val="00D4331A"/>
    <w:rsid w:val="00D545A6"/>
    <w:rsid w:val="00D71D08"/>
    <w:rsid w:val="00D85713"/>
    <w:rsid w:val="00DA4411"/>
    <w:rsid w:val="00DA6BB8"/>
    <w:rsid w:val="00DB7551"/>
    <w:rsid w:val="00DD24DE"/>
    <w:rsid w:val="00DD3B5C"/>
    <w:rsid w:val="00DD3E17"/>
    <w:rsid w:val="00DD4C24"/>
    <w:rsid w:val="00DD5DCF"/>
    <w:rsid w:val="00DE349B"/>
    <w:rsid w:val="00DE5B87"/>
    <w:rsid w:val="00E0566E"/>
    <w:rsid w:val="00E05705"/>
    <w:rsid w:val="00E26382"/>
    <w:rsid w:val="00E318A5"/>
    <w:rsid w:val="00E407F9"/>
    <w:rsid w:val="00E45D3F"/>
    <w:rsid w:val="00E67F14"/>
    <w:rsid w:val="00E7219D"/>
    <w:rsid w:val="00E90342"/>
    <w:rsid w:val="00EA27D9"/>
    <w:rsid w:val="00EA3500"/>
    <w:rsid w:val="00EB0B76"/>
    <w:rsid w:val="00EB1305"/>
    <w:rsid w:val="00ED28AB"/>
    <w:rsid w:val="00ED47D4"/>
    <w:rsid w:val="00EF71B5"/>
    <w:rsid w:val="00F00195"/>
    <w:rsid w:val="00F0769C"/>
    <w:rsid w:val="00F1176F"/>
    <w:rsid w:val="00F27D50"/>
    <w:rsid w:val="00F31CDC"/>
    <w:rsid w:val="00F51847"/>
    <w:rsid w:val="00F547FD"/>
    <w:rsid w:val="00F73EC3"/>
    <w:rsid w:val="00FA1A0B"/>
    <w:rsid w:val="00FA2811"/>
    <w:rsid w:val="00FB1F19"/>
    <w:rsid w:val="00FB4821"/>
    <w:rsid w:val="00FC7499"/>
    <w:rsid w:val="00FD09C5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7D6B20-1508-4714-A5EC-5959BBB2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D99C-3A39-47A1-B359-45380314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6</cp:revision>
  <cp:lastPrinted>2023-03-17T17:46:00Z</cp:lastPrinted>
  <dcterms:created xsi:type="dcterms:W3CDTF">2020-05-04T12:27:00Z</dcterms:created>
  <dcterms:modified xsi:type="dcterms:W3CDTF">2023-12-15T06:50:00Z</dcterms:modified>
</cp:coreProperties>
</file>