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52BA" w14:textId="19A55BA4" w:rsidR="00DE1EC3" w:rsidRPr="00DE1EC3" w:rsidRDefault="00DE1EC3" w:rsidP="00E861CC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bidi="ar-SY"/>
        </w:rPr>
      </w:pPr>
      <w:r w:rsidRPr="00DE1EC3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bidi="ar-SY"/>
        </w:rPr>
        <w:t>(Lec 1)</w:t>
      </w:r>
    </w:p>
    <w:p w14:paraId="664CB79C" w14:textId="60CF6F3D" w:rsidR="00E0566E" w:rsidRPr="0045125D" w:rsidRDefault="00E0566E" w:rsidP="00DE1EC3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14:paraId="282CD668" w14:textId="77777777" w:rsidR="00E0566E" w:rsidRPr="00E45D3F" w:rsidRDefault="00E45D3F" w:rsidP="00E45D3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</w:pPr>
      <w:r w:rsidRPr="00E45D3F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>Rheumatologic Disorders</w:t>
      </w:r>
    </w:p>
    <w:p w14:paraId="5B2A1B7C" w14:textId="77777777" w:rsidR="00E0566E" w:rsidRPr="00A10A8E" w:rsidRDefault="00A10A8E" w:rsidP="00E861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  <w:rtl/>
          <w:lang w:bidi="ar-IQ"/>
        </w:rPr>
      </w:pPr>
      <w:r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 xml:space="preserve">  </w:t>
      </w:r>
      <w:r w:rsidRPr="00A10A8E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t>Gout and Hyperuricemia</w:t>
      </w:r>
      <w:r w:rsidR="0045125D" w:rsidRPr="00A10A8E">
        <w:rPr>
          <w:rFonts w:asciiTheme="majorBidi" w:eastAsia="Times New Roman" w:hAnsiTheme="majorBidi" w:cstheme="majorBidi" w:hint="cs"/>
          <w:b/>
          <w:bCs/>
          <w:color w:val="0000FF"/>
          <w:sz w:val="32"/>
          <w:szCs w:val="32"/>
          <w:rtl/>
          <w:lang w:bidi="ar-IQ"/>
        </w:rPr>
        <w:t xml:space="preserve">   </w:t>
      </w:r>
    </w:p>
    <w:p w14:paraId="796D5DBA" w14:textId="77777777" w:rsidR="0045125D" w:rsidRPr="000746CE" w:rsidRDefault="0045125D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Introduction </w:t>
      </w:r>
    </w:p>
    <w:p w14:paraId="73B1A82C" w14:textId="77777777" w:rsidR="00925EA6" w:rsidRDefault="00925EA6" w:rsidP="00925E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Gout involves an </w:t>
      </w:r>
      <w:r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inflammatory response to precipitation of monosodium urate (MSU) crystals in both articular and nonarticular tissues</w:t>
      </w:r>
      <w:r w:rsidRPr="00BE17A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018D86B7" w14:textId="77777777" w:rsidR="00925EA6" w:rsidRDefault="00925EA6" w:rsidP="00925E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14:paraId="2D75CF28" w14:textId="77777777" w:rsidR="00A10A8E" w:rsidRDefault="00A10A8E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A</w:t>
      </w:r>
      <w:r w:rsidRPr="00A10A8E">
        <w:rPr>
          <w:rFonts w:asciiTheme="majorBidi" w:hAnsiTheme="majorBidi" w:cstheme="majorBidi"/>
          <w:b/>
          <w:bCs/>
          <w:color w:val="FF0000"/>
          <w:sz w:val="32"/>
          <w:szCs w:val="32"/>
        </w:rPr>
        <w:t>cute gouty arthritis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: p</w:t>
      </w:r>
      <w:r w:rsidR="000746CE"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athophysiology</w:t>
      </w:r>
    </w:p>
    <w:p w14:paraId="1B98FF9C" w14:textId="77777777"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485899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An increased urate pool in individuals with gout may result from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overproduction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or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underexcretion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5792CCFD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35CEE8C7" w14:textId="77777777" w:rsidR="00A10A8E" w:rsidRPr="00A10A8E" w:rsidRDefault="00485899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Overproduction of uric acid may result from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abnormalities in enzyme systems that regulate purine metabolism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Cytotoxic drugs can result in overproduction of uric acid due to 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lysis and the breakdown of cellular matter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5DC4FACD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68D66283" w14:textId="77777777" w:rsidR="00A10A8E" w:rsidRPr="00A10A8E" w:rsidRDefault="00485899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-</w:t>
      </w:r>
      <w:r w:rsidR="00A10A8E" w:rsidRPr="00DB7551">
        <w:rPr>
          <w:rFonts w:asciiTheme="majorBidi" w:hAnsiTheme="majorBidi" w:cstheme="majorBidi"/>
          <w:b/>
          <w:bCs/>
          <w:color w:val="333333"/>
          <w:sz w:val="28"/>
          <w:szCs w:val="28"/>
        </w:rPr>
        <w:t>Dietary purines are insignificant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generating hyperuricemia without some derangement in purine metabolism or elimination.</w:t>
      </w:r>
    </w:p>
    <w:p w14:paraId="038E25D8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7F4E724F" w14:textId="77777777" w:rsidR="00DB7551" w:rsidRPr="00A10A8E" w:rsidRDefault="00485899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Two-thirds of uric acid produced daily is excreted in urine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The remainder is eliminated through gastrointestinal (GI) tract after degradation by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colonic bacteria. Decline in urinary excretion leads to hyperuricemia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7F842C4B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0CA43328" w14:textId="77777777" w:rsidR="00066E93" w:rsidRDefault="00485899" w:rsidP="00066E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DB7551" w:rsidRPr="00BE17AD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066E93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Some drugs </w:t>
      </w:r>
      <w:r w:rsidR="00066E93" w:rsidRP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decrease renal uric acid clearance like </w:t>
      </w:r>
      <w:r w:rsidR="00066E93" w:rsidRPr="00BE17AD">
        <w:rPr>
          <w:rFonts w:asciiTheme="majorBidi" w:hAnsiTheme="majorBidi" w:cstheme="majorBidi"/>
          <w:color w:val="333333"/>
          <w:sz w:val="28"/>
          <w:szCs w:val="28"/>
        </w:rPr>
        <w:t>diuretics.</w:t>
      </w:r>
    </w:p>
    <w:p w14:paraId="124B4D64" w14:textId="77777777" w:rsidR="00066E93" w:rsidRPr="00BE17AD" w:rsidRDefault="00066E93" w:rsidP="00066E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DE4B038" w14:textId="77777777" w:rsidR="00A10A8E" w:rsidRPr="00A10A8E" w:rsidRDefault="00485899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Deposition of urate crystals in synovial fluid results in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inflammation</w:t>
      </w:r>
      <w:r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79494BB4" w14:textId="77777777" w:rsidR="00A12584" w:rsidRPr="00BE17AD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BEA1FDF" w14:textId="77777777" w:rsidR="00A10A8E" w:rsidRPr="00A10A8E" w:rsidRDefault="00485899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Uric acid nephrolithiasis occurs in </w:t>
      </w:r>
      <w:r w:rsidR="00A10A8E" w:rsidRPr="009359FF">
        <w:rPr>
          <w:rFonts w:asciiTheme="majorBidi" w:hAnsiTheme="majorBidi" w:cstheme="majorBidi" w:hint="eastAsia"/>
          <w:b/>
          <w:bCs/>
          <w:color w:val="333333"/>
          <w:sz w:val="28"/>
          <w:szCs w:val="28"/>
        </w:rPr>
        <w:t>∼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10% of patients with gout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Predisposing factors include excessive urinary excretion of uric acid, acidic urine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(pH &lt;6), and highly concentrated urine.</w:t>
      </w:r>
    </w:p>
    <w:p w14:paraId="2FD55BA5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2729942C" w14:textId="77777777" w:rsidR="00A10A8E" w:rsidRPr="00A10A8E" w:rsidRDefault="00485899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 acute uric acid nephropathy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acute kidney injury occurs because of blockage of urine flow from massive precipitation of uric acid crystals in</w:t>
      </w:r>
      <w:r w:rsidR="00A1258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collecting ducts and ureters.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Chronic urate nephropathy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caused by long-term deposition of urate crystals in the renal parenchyma.</w:t>
      </w:r>
    </w:p>
    <w:p w14:paraId="01261D8D" w14:textId="77777777" w:rsidR="00A12584" w:rsidRPr="00ED28AB" w:rsidRDefault="00A1258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2E485B3A" w14:textId="77777777" w:rsidR="0045125D" w:rsidRPr="00A10A8E" w:rsidRDefault="00485899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Tophi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urate deposits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) are uncommon and are a late complication of hyperuricemia. </w:t>
      </w:r>
    </w:p>
    <w:p w14:paraId="28E091F8" w14:textId="77777777" w:rsidR="000746CE" w:rsidRPr="00ED28AB" w:rsidRDefault="000746CE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4A4CAA87" w14:textId="77777777" w:rsidR="0045125D" w:rsidRPr="000746CE" w:rsidRDefault="000746CE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Clinical  presentation</w:t>
      </w:r>
    </w:p>
    <w:p w14:paraId="7A36CD8D" w14:textId="77777777" w:rsidR="00DA4411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Acute gout attacks are characterized by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rapid onset of excruciating pain, swelling, and inflammation. The attack is typically monoarticular, most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often affecting the first metatarsophalangeal joint (podagra), and then, in order of frequency, the insteps, ankles, heels, knees, wrists, fingers, and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elbows. </w:t>
      </w:r>
    </w:p>
    <w:p w14:paraId="23788DEA" w14:textId="77777777" w:rsidR="00DA4411" w:rsidRPr="00ED28AB" w:rsidRDefault="00DA441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62E90EDD" w14:textId="77777777" w:rsidR="000746C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Attacks commonly begin at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night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with the patient awakening with excruciating pain. Affected joints are erythematous, warm, and swollen.</w:t>
      </w:r>
    </w:p>
    <w:p w14:paraId="21EC31B8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7D3C15DD" w14:textId="77777777" w:rsidR="00A10A8E" w:rsidRPr="00A10A8E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Fever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l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eukocytosis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are common. Untreated attacks last from 3 to 14 days before spontaneous recovery.</w:t>
      </w:r>
    </w:p>
    <w:p w14:paraId="051FBE11" w14:textId="77777777"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2DCB528A" w14:textId="77777777" w:rsidR="00A10A8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 attacks may occur without provocation or be precipitated by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stress, trauma, alcohol ingestion, infection, surgery, rapid lowering of serum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uric acid by uric acid-lowering agents, and ingestion of drugs known to elevate serum uric acid concentrations.</w:t>
      </w:r>
    </w:p>
    <w:p w14:paraId="6C2A5318" w14:textId="77777777" w:rsidR="00DA4411" w:rsidRPr="00ED28AB" w:rsidRDefault="00DA4411" w:rsidP="0040588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2EC2AD31" w14:textId="77777777" w:rsidR="00A10A8E" w:rsidRDefault="000746CE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0746CE">
        <w:rPr>
          <w:rFonts w:asciiTheme="majorBidi" w:hAnsiTheme="majorBidi" w:cstheme="majorBidi"/>
          <w:b/>
          <w:bCs/>
          <w:color w:val="FF0000"/>
          <w:sz w:val="32"/>
          <w:szCs w:val="32"/>
        </w:rPr>
        <w:t>Diagnosis</w:t>
      </w:r>
    </w:p>
    <w:p w14:paraId="7D7AF2CF" w14:textId="77777777" w:rsidR="00A10A8E" w:rsidRPr="00A10A8E" w:rsidRDefault="00DA4411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Definitive diagnosis requires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aspiration of synovial fluid from the affected joint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and identification of intracellular</w:t>
      </w:r>
      <w:r w:rsidR="00066E9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066E93" w:rsidRPr="00BE17AD">
        <w:rPr>
          <w:rFonts w:asciiTheme="majorBidi" w:hAnsiTheme="majorBidi" w:cstheme="majorBidi"/>
          <w:color w:val="333333"/>
          <w:sz w:val="28"/>
          <w:szCs w:val="28"/>
        </w:rPr>
        <w:t>MSU crystals</w:t>
      </w:r>
      <w:r w:rsidR="00066E93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in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synovial fluid leukocytes.</w:t>
      </w:r>
    </w:p>
    <w:p w14:paraId="70C1F05F" w14:textId="77777777"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5B2F7268" w14:textId="77777777" w:rsidR="00A10A8E" w:rsidRPr="00A10A8E" w:rsidRDefault="00DA4411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When joint aspiration is not feasible, </w:t>
      </w:r>
      <w:r w:rsidR="00066E93" w:rsidRPr="00BE17AD">
        <w:rPr>
          <w:rFonts w:asciiTheme="majorBidi" w:hAnsiTheme="majorBidi" w:cstheme="majorBidi"/>
          <w:color w:val="333333"/>
          <w:sz w:val="28"/>
          <w:szCs w:val="28"/>
        </w:rPr>
        <w:t>the diagnosis can be made</w:t>
      </w:r>
      <w:r w:rsidR="00066E9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based on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of characteristic signs and symptoms as well as the response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to treatment.</w:t>
      </w:r>
    </w:p>
    <w:p w14:paraId="4644F066" w14:textId="77777777" w:rsidR="0045125D" w:rsidRPr="00ED28AB" w:rsidRDefault="000746CE" w:rsidP="00A10A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  <w:r w:rsidRPr="00ED28AB">
        <w:rPr>
          <w:rFonts w:asciiTheme="majorBidi" w:hAnsiTheme="majorBidi" w:cstheme="majorBidi"/>
          <w:b/>
          <w:bCs/>
          <w:color w:val="FF0000"/>
          <w:sz w:val="16"/>
          <w:szCs w:val="16"/>
        </w:rPr>
        <w:t xml:space="preserve"> </w:t>
      </w:r>
    </w:p>
    <w:p w14:paraId="5DC7531E" w14:textId="77777777" w:rsidR="0045125D" w:rsidRDefault="00405882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Treatment </w:t>
      </w:r>
    </w:p>
    <w:p w14:paraId="42CC8C7A" w14:textId="77777777" w:rsidR="00A10A8E" w:rsidRPr="00A10A8E" w:rsidRDefault="00A10A8E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Goals of Treatment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: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Terminate the acute attack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prevent recurrent attacks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and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prevent complications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associated with chronic deposition of urate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crystals in tissues.</w:t>
      </w:r>
    </w:p>
    <w:p w14:paraId="3C35F159" w14:textId="77777777" w:rsidR="00405882" w:rsidRPr="004A73A6" w:rsidRDefault="00405882" w:rsidP="000746C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C78B2AD" w14:textId="77777777" w:rsidR="0045125D" w:rsidRDefault="0045125D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Nonpharmacologic Therapy</w:t>
      </w:r>
    </w:p>
    <w:p w14:paraId="3D6BA4C3" w14:textId="77777777" w:rsidR="00A10A8E" w:rsidRPr="00A10A8E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Local ice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application is the most effective adjunctive treatment.</w:t>
      </w:r>
    </w:p>
    <w:p w14:paraId="659CA7E0" w14:textId="77777777" w:rsidR="00DB7551" w:rsidRPr="00ED28AB" w:rsidRDefault="00DB755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45E130D0" w14:textId="77777777" w:rsidR="00A10A8E" w:rsidRPr="009359FF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Dietary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supplements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(eg, flaxseed, cherry, celery root)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are not recommended</w:t>
      </w:r>
      <w:r w:rsid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14:paraId="6B1A7FBD" w14:textId="77777777" w:rsidR="00405882" w:rsidRPr="00ED28AB" w:rsidRDefault="00405882" w:rsidP="00A10A8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</w:rPr>
      </w:pPr>
    </w:p>
    <w:p w14:paraId="72A3703D" w14:textId="77777777" w:rsidR="0045125D" w:rsidRPr="00405882" w:rsidRDefault="0045125D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05882">
        <w:rPr>
          <w:rFonts w:asciiTheme="majorBidi" w:hAnsiTheme="majorBidi" w:cstheme="majorBidi"/>
          <w:b/>
          <w:bCs/>
          <w:color w:val="0000FF"/>
          <w:sz w:val="32"/>
          <w:szCs w:val="32"/>
        </w:rPr>
        <w:t>Pharmacologic Therapy</w:t>
      </w:r>
    </w:p>
    <w:p w14:paraId="0315DAA9" w14:textId="77777777" w:rsidR="008D5E15" w:rsidRPr="00A10A8E" w:rsidRDefault="00A10A8E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Most patients are treated successfully with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NSAIDs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corticosteroids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. Treatment should begin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as soon as possible after the onset of an attack</w:t>
      </w:r>
      <w:r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78723AAA" w14:textId="77777777" w:rsidR="00ED28AB" w:rsidRPr="00ED28AB" w:rsidRDefault="00ED28AB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51419195" w14:textId="77777777" w:rsidR="00A10A8E" w:rsidRPr="00DA4411" w:rsidRDefault="00DB7551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A-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NSAIDS</w:t>
      </w:r>
    </w:p>
    <w:p w14:paraId="5B7ADB6B" w14:textId="77777777" w:rsidR="00A10A8E" w:rsidRPr="00A10A8E" w:rsidRDefault="00DB7551" w:rsidP="00DA44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NSAIDs have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excellent efficacy and minimal toxicity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with short-term use. Indomethacin, naproxen, and sulindac have FDA approval for gout,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but others are likely to be effective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13406CFE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29A20CF0" w14:textId="77777777"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Start therapy </w:t>
      </w:r>
      <w:r w:rsidR="00A10A8E" w:rsidRPr="00066E93">
        <w:rPr>
          <w:rFonts w:asciiTheme="majorBidi" w:hAnsiTheme="majorBidi" w:cstheme="majorBidi"/>
          <w:b/>
          <w:bCs/>
          <w:color w:val="333333"/>
          <w:sz w:val="28"/>
          <w:szCs w:val="28"/>
        </w:rPr>
        <w:t>within 24 hours of attack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onset and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continue until complete resolution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(usually 5</w:t>
      </w:r>
      <w:r w:rsidR="00A10A8E" w:rsidRPr="00A10A8E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8 days). Tapering may be considered after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resolution.</w:t>
      </w:r>
    </w:p>
    <w:p w14:paraId="48D723A9" w14:textId="77777777" w:rsidR="00DA4411" w:rsidRPr="00ED28AB" w:rsidRDefault="00DA44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14:paraId="007FE762" w14:textId="77777777" w:rsidR="00A10A8E" w:rsidRPr="00A10A8E" w:rsidRDefault="00BE17AD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Selective cyclooxygenase-2 inhibitors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066E93" w:rsidRPr="00A10A8E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celecoxib)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may be an option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for patients unable to take nonselective NSAIDs, but</w:t>
      </w:r>
      <w:r w:rsidR="00485899">
        <w:rPr>
          <w:rFonts w:asciiTheme="majorBidi" w:hAnsiTheme="majorBidi" w:cstheme="majorBidi"/>
          <w:color w:val="333333"/>
          <w:sz w:val="28"/>
          <w:szCs w:val="28"/>
        </w:rPr>
        <w:t xml:space="preserve"> the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cardiovascular risk must be considered.</w:t>
      </w:r>
    </w:p>
    <w:p w14:paraId="45DC5E09" w14:textId="77777777" w:rsidR="00A10A8E" w:rsidRPr="00ED28AB" w:rsidRDefault="00A10A8E" w:rsidP="00A10A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32106B65" w14:textId="77777777" w:rsidR="00A10A8E" w:rsidRPr="00DA4411" w:rsidRDefault="00DB7551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B-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Corticosteroids</w:t>
      </w:r>
    </w:p>
    <w:p w14:paraId="3AF4C4C1" w14:textId="77777777" w:rsidR="00A10A8E" w:rsidRPr="00A10A8E" w:rsidRDefault="00DB7551" w:rsidP="00A130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Corticosteroid efficacy is equivalent to NSAIDs;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can be used systemically or by intra-articular (IA) injection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 If only one or two joints are</w:t>
      </w:r>
      <w:r w:rsidR="00DA44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involved, either IA or oral corticosteroids are recommended. </w:t>
      </w:r>
      <w:r w:rsidR="00A130C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Systemic therapy is necessary for polyarticular attacks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5B2CE964" w14:textId="77777777" w:rsidR="00A130CF" w:rsidRPr="00ED28AB" w:rsidRDefault="00A130C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50293E4" w14:textId="77777777" w:rsidR="00DB7551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Tapering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often used to reduce the hypothetical risk of a rebound attack upon</w:t>
      </w:r>
      <w:r w:rsidR="00A130C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steroid withdrawal.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14:paraId="2EF0879E" w14:textId="77777777" w:rsidR="00DB7551" w:rsidRPr="00ED28AB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5C8F808E" w14:textId="77777777" w:rsidR="00BE17AD" w:rsidRDefault="00DB7551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IA corticosteroids should be used with an oral NSAID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colchicine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corticosteroid 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Alternatively,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IM corticosteroid monotherapy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may be considered in patients with multiple</w:t>
      </w:r>
      <w:r w:rsidR="00935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affected joints who cannot take oral therapy.</w:t>
      </w:r>
      <w:r w:rsidR="00485899" w:rsidRP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</w:p>
    <w:p w14:paraId="08439E5B" w14:textId="77777777" w:rsidR="00BE17AD" w:rsidRPr="00BE17AD" w:rsidRDefault="00BE17AD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14:paraId="251EC993" w14:textId="77777777" w:rsidR="00A10A8E" w:rsidRPr="00A10A8E" w:rsidRDefault="00BE17AD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>4-</w:t>
      </w:r>
      <w:r w:rsidR="00A10A8E" w:rsidRP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>Avoid long-term use because of risk for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 xml:space="preserve"> osteoporosis, hypothalamic</w:t>
      </w:r>
      <w:r w:rsidR="00A10A8E" w:rsidRPr="0048589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pituitary</w:t>
      </w:r>
      <w:r w:rsidR="00A10A8E" w:rsidRPr="00485899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adrenal axis</w:t>
      </w:r>
      <w:r w:rsidR="009359FF" w:rsidRPr="0048589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485899">
        <w:rPr>
          <w:rFonts w:asciiTheme="majorBidi" w:hAnsiTheme="majorBidi" w:cstheme="majorBidi"/>
          <w:color w:val="333333"/>
          <w:sz w:val="28"/>
          <w:szCs w:val="28"/>
        </w:rPr>
        <w:t>suppression, cataracts, and muscle deconditioning.</w:t>
      </w:r>
    </w:p>
    <w:p w14:paraId="2927CEF1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73AB26A" w14:textId="77777777" w:rsidR="00BE17AD" w:rsidRDefault="00BE17AD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21DB758F" w14:textId="77777777" w:rsidR="00A10A8E" w:rsidRPr="00DA4411" w:rsidRDefault="00DB7551" w:rsidP="00BE17A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>C-</w:t>
      </w:r>
      <w:r w:rsidR="00A10A8E"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Colchicine</w:t>
      </w:r>
    </w:p>
    <w:p w14:paraId="7B39BBE6" w14:textId="77777777" w:rsidR="001B1C18" w:rsidRDefault="00DB7551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Colchicine is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highly effective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relieving acute gout attacks; </w:t>
      </w:r>
      <w:r w:rsidR="00A10A8E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when it is started within the first 24 hours of onset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about two-thirds of patients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respond within hours. </w:t>
      </w:r>
    </w:p>
    <w:p w14:paraId="70EA554C" w14:textId="77777777" w:rsidR="001B1C18" w:rsidRPr="00ED28AB" w:rsidRDefault="001B1C18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8D7306E" w14:textId="77777777" w:rsidR="001B1C18" w:rsidRDefault="00BE17AD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Colchicine causes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dose-dependent GI adverse effects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(nausea, vomiting, and diarrhea).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Non-GI effects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neutropenia and axonal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neuromyopathy, which may be worsened in patients taking other myopathic drugs (</w:t>
      </w:r>
      <w:r w:rsidR="00DF25A3" w:rsidRPr="00A10A8E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statins) or with impaired kidney function. </w:t>
      </w:r>
    </w:p>
    <w:p w14:paraId="2269D47D" w14:textId="77777777" w:rsidR="001B1C18" w:rsidRPr="00ED28AB" w:rsidRDefault="001B1C18" w:rsidP="001B1C1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510981CC" w14:textId="77777777" w:rsidR="00A10A8E" w:rsidRDefault="00BE17AD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DB7551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Use colchicine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with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caution in patients taking P-glycoprotein or strong CYP450 3A4 inhibitors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</w:t>
      </w:r>
      <w:r w:rsidR="00DF25A3" w:rsidRPr="00A10A8E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clarithromycin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) due to increased plasma colchicine levels and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potential toxicity; colchicine dose reductions may be required.</w:t>
      </w:r>
      <w:r w:rsidR="001B1C18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</w:p>
    <w:p w14:paraId="74C54666" w14:textId="77777777" w:rsidR="00DB7551" w:rsidRPr="00ED28AB" w:rsidRDefault="00DB7551" w:rsidP="00DB75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4F2AA858" w14:textId="77777777" w:rsidR="00A10A8E" w:rsidRPr="00DA4411" w:rsidRDefault="00DA4411" w:rsidP="00A508F8">
      <w:pPr>
        <w:autoSpaceDE w:val="0"/>
        <w:autoSpaceDN w:val="0"/>
        <w:bidi w:val="0"/>
        <w:adjustRightInd w:val="0"/>
        <w:spacing w:after="0" w:line="240" w:lineRule="auto"/>
        <w:jc w:val="center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Hyperuricemia</w:t>
      </w: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</w:t>
      </w:r>
      <w:r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in gout</w:t>
      </w:r>
    </w:p>
    <w:p w14:paraId="32892A63" w14:textId="77777777" w:rsidR="00DF25A3" w:rsidRDefault="00A10A8E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Recurrent gout attacks can be prevented by maintaining low uric acid levels, </w:t>
      </w:r>
      <w:r w:rsidR="00DF25A3" w:rsidRPr="00BE17AD">
        <w:rPr>
          <w:rFonts w:asciiTheme="majorBidi" w:hAnsiTheme="majorBidi" w:cstheme="majorBidi"/>
          <w:color w:val="333333"/>
          <w:sz w:val="28"/>
          <w:szCs w:val="28"/>
        </w:rPr>
        <w:t>but nonadherence with nonpharmacologic and pharmacologic therapies is common.</w:t>
      </w:r>
    </w:p>
    <w:p w14:paraId="532BD974" w14:textId="77777777" w:rsidR="00BE17AD" w:rsidRDefault="00BE17AD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5442078A" w14:textId="77777777" w:rsidR="00A10A8E" w:rsidRPr="00BE5327" w:rsidRDefault="00A10A8E" w:rsidP="00BE17AD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E5327">
        <w:rPr>
          <w:rFonts w:asciiTheme="majorBidi" w:hAnsiTheme="majorBidi" w:cstheme="majorBidi"/>
          <w:b/>
          <w:bCs/>
          <w:color w:val="FF0000"/>
          <w:sz w:val="32"/>
          <w:szCs w:val="32"/>
        </w:rPr>
        <w:t>Nonpharmacologic Therapy</w:t>
      </w:r>
    </w:p>
    <w:p w14:paraId="04280F28" w14:textId="77777777" w:rsidR="00A10A8E" w:rsidRPr="00A10A8E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Promote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weight loss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through caloric restriction and exercise in all patients to enhance renal urate excretion.</w:t>
      </w:r>
    </w:p>
    <w:p w14:paraId="0FDA12BA" w14:textId="77777777" w:rsidR="00BE5327" w:rsidRPr="00ED28AB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3C0D2EF4" w14:textId="77777777" w:rsidR="00DF25A3" w:rsidRDefault="00BE5327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Alcohol restriction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is important because </w:t>
      </w:r>
      <w:r w:rsidR="00DF25A3" w:rsidRPr="00BE17AD">
        <w:rPr>
          <w:rFonts w:asciiTheme="majorBidi" w:hAnsiTheme="majorBidi" w:cstheme="majorBidi"/>
          <w:color w:val="333333"/>
          <w:sz w:val="28"/>
          <w:szCs w:val="28"/>
        </w:rPr>
        <w:t>increased consumption has been associated with an increased risk of gout attacks.</w:t>
      </w:r>
    </w:p>
    <w:p w14:paraId="60CF281F" w14:textId="77777777" w:rsidR="00BE5327" w:rsidRPr="00ED28AB" w:rsidRDefault="00BE5327" w:rsidP="00BE532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643132B" w14:textId="77777777" w:rsidR="00DF25A3" w:rsidRDefault="00BE5327" w:rsidP="00DF25A3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Dietary recommendations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include limiting consumption of high-fructose corn syrup and purine-rich foods (organ meats and some seafood) </w:t>
      </w:r>
      <w:r w:rsidR="00DF25A3" w:rsidRPr="00BE17AD">
        <w:rPr>
          <w:rFonts w:asciiTheme="majorBidi" w:hAnsiTheme="majorBidi" w:cstheme="majorBidi"/>
          <w:color w:val="333333"/>
          <w:sz w:val="28"/>
          <w:szCs w:val="28"/>
        </w:rPr>
        <w:t>which have been linked to uric acid elevation.</w:t>
      </w:r>
    </w:p>
    <w:p w14:paraId="56430D4B" w14:textId="77777777" w:rsidR="00BE5327" w:rsidRPr="00ED28AB" w:rsidRDefault="00BE5327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561EAAF" w14:textId="77777777" w:rsidR="00A10A8E" w:rsidRPr="00A10A8E" w:rsidRDefault="00DB7551" w:rsidP="0048589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Evaluate the medication list for potentially unnecessary drugs that may elevate uric acid levels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485899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Low-dose aspirin for cardiovascular prevention should be continued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because aspirin has a negligible effect on elevating serum uric acid.</w:t>
      </w:r>
    </w:p>
    <w:p w14:paraId="78751FC0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40500355" w14:textId="77777777" w:rsidR="00BE5327" w:rsidRPr="00A508F8" w:rsidRDefault="00A10A8E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DA4411">
        <w:rPr>
          <w:rFonts w:asciiTheme="majorBidi" w:hAnsiTheme="majorBidi" w:cstheme="majorBidi"/>
          <w:b/>
          <w:bCs/>
          <w:color w:val="FF0000"/>
          <w:sz w:val="32"/>
          <w:szCs w:val="32"/>
        </w:rPr>
        <w:t>Pharmacologic Therapy</w:t>
      </w:r>
      <w:r w:rsidRPr="00A508F8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</w:p>
    <w:p w14:paraId="589CB403" w14:textId="77777777" w:rsidR="008A3B3F" w:rsidRDefault="00DB7551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After the first attack of acute gout,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prophylactic pharmacotherapy is recommended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if patients have two or more attacks per year, even if serum</w:t>
      </w:r>
      <w:r w:rsidR="008A3B3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uric acid is normal or only minimally elevated. </w:t>
      </w:r>
    </w:p>
    <w:p w14:paraId="0EB2B2A8" w14:textId="77777777" w:rsidR="008A3B3F" w:rsidRPr="00ED28AB" w:rsidRDefault="008A3B3F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87C8928" w14:textId="77777777" w:rsidR="00DF25A3" w:rsidRDefault="00DB7551" w:rsidP="00DF25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Other indications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presence of to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>phi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="00DF25A3" w:rsidRPr="00BE17AD">
        <w:rPr>
          <w:rFonts w:asciiTheme="majorBidi" w:hAnsiTheme="majorBidi" w:cstheme="majorBidi"/>
          <w:color w:val="333333"/>
          <w:sz w:val="28"/>
          <w:szCs w:val="28"/>
        </w:rPr>
        <w:t>and radiographic evidence of damage attributable to gout.</w:t>
      </w:r>
    </w:p>
    <w:p w14:paraId="5CA6B13A" w14:textId="77777777" w:rsidR="008A3B3F" w:rsidRPr="00ED28AB" w:rsidRDefault="008A3B3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1E9D4EB" w14:textId="77777777" w:rsidR="00A10A8E" w:rsidRPr="00A10A8E" w:rsidRDefault="00DB7551" w:rsidP="008A3B3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Urate-lowering therapy can be started during an acute attack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if anti-inflammatory prophylaxis has been initiated.</w:t>
      </w:r>
    </w:p>
    <w:p w14:paraId="0299DC7E" w14:textId="77777777" w:rsidR="00450611" w:rsidRPr="00ED28AB" w:rsidRDefault="0045061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3AC8C30" w14:textId="77777777" w:rsidR="00450611" w:rsidRDefault="00DB7551" w:rsidP="00935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Xanthine oxidase inhibitors are recommended first-line therapy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with uricosurics reserved</w:t>
      </w:r>
      <w:r w:rsidR="00935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for patients with a contraindication or intolerance to xanthine oxidase inhibitors. </w:t>
      </w:r>
    </w:p>
    <w:p w14:paraId="6D8B0A09" w14:textId="77777777"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A0CF675" w14:textId="77777777" w:rsidR="00450611" w:rsidRDefault="00DB755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In refractory cases,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combination therapy with a xanthine oxidase</w:t>
      </w:r>
      <w:r w:rsidR="00450611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inhibitor plus a drug with uricosuric properties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(probenecid, losartan, or fenofibrate) is suggested. </w:t>
      </w:r>
    </w:p>
    <w:p w14:paraId="2E578B4C" w14:textId="77777777"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F879D33" w14:textId="77777777" w:rsidR="00A10A8E" w:rsidRPr="00A10A8E" w:rsidRDefault="00DB755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Pegloticase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may be used in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severe cases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</w:t>
      </w:r>
      <w:r w:rsidR="0045061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which the patient cannot tolerate or is not responding to other therapies.</w:t>
      </w:r>
    </w:p>
    <w:p w14:paraId="40A6AF61" w14:textId="77777777" w:rsidR="00450611" w:rsidRPr="00ED28AB" w:rsidRDefault="00450611" w:rsidP="004506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55A2EDD6" w14:textId="77777777" w:rsidR="00A10A8E" w:rsidRPr="00A10A8E" w:rsidRDefault="00DB7551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7-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ACR guideline goal of urate-lowering therapy is to achieve and maintain serum uric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acid &lt;6 mg/</w:t>
      </w:r>
      <w:r w:rsidR="00BE17AD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Dl</w:t>
      </w:r>
      <w:r w:rsid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Urate lowering should be prescribed for long-term use.</w:t>
      </w:r>
    </w:p>
    <w:p w14:paraId="668AFD29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D1F069A" w14:textId="77777777" w:rsidR="00A10A8E" w:rsidRPr="00DA4411" w:rsidRDefault="00E45D3F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A-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Xanthine Oxidase Inhibitors</w:t>
      </w:r>
    </w:p>
    <w:p w14:paraId="2A4D33B0" w14:textId="77777777"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Xanthine oxidase inhibitors reduce uric acid by impairing conversion of hypoxanthine to xanthine and xanthine to uric acid. </w:t>
      </w:r>
    </w:p>
    <w:p w14:paraId="6EC4B695" w14:textId="77777777"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B9D758F" w14:textId="77777777" w:rsidR="00A10A8E" w:rsidRPr="00A10A8E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Because they are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effective in both overproducers and underexcretors of uric acid,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they are the most widely prescribed agents for long-term prevention of recurrent</w:t>
      </w:r>
      <w:r w:rsidR="008939FF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gout attacks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32B39324" w14:textId="77777777" w:rsidR="008939FF" w:rsidRPr="00ED28AB" w:rsidRDefault="008939F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2E209BA7" w14:textId="77777777" w:rsidR="00A10A8E" w:rsidRPr="00A10A8E" w:rsidRDefault="00485899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Mild adverse effects of allopurinol include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skin rash, leukopenia, GI problems, headache, and urticaria. A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severe adverse reaction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known as</w:t>
      </w:r>
      <w:r w:rsidR="008939FF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allopurinol hypersensitivity syndrome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which includes severe rash (toxic epidermal necrolysis, erythema multiforme, or exfoliative dermatitis),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occurs rarely but is associated with 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a 20%</w:t>
      </w:r>
      <w:r w:rsidR="00A10A8E" w:rsidRPr="009359FF">
        <w:rPr>
          <w:rFonts w:asciiTheme="majorBidi" w:hAnsiTheme="majorBidi" w:cstheme="majorBidi" w:hint="cs"/>
          <w:b/>
          <w:bCs/>
          <w:color w:val="333333"/>
          <w:sz w:val="28"/>
          <w:szCs w:val="28"/>
        </w:rPr>
        <w:t>–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25% mortality rate.</w:t>
      </w:r>
    </w:p>
    <w:p w14:paraId="34002BC3" w14:textId="77777777" w:rsidR="008939FF" w:rsidRPr="00ED28AB" w:rsidRDefault="008939FF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059BA65E" w14:textId="77777777" w:rsidR="0053555A" w:rsidRDefault="001F6396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9359FF">
        <w:rPr>
          <w:rFonts w:asciiTheme="majorBidi" w:hAnsiTheme="majorBidi" w:cstheme="majorBidi"/>
          <w:b/>
          <w:bCs/>
          <w:color w:val="333333"/>
          <w:sz w:val="28"/>
          <w:szCs w:val="28"/>
        </w:rPr>
        <w:t>Febuxostat</w:t>
      </w:r>
      <w:r w:rsidR="00485899">
        <w:rPr>
          <w:rFonts w:asciiTheme="majorBidi" w:hAnsiTheme="majorBidi" w:cstheme="majorBidi"/>
          <w:color w:val="333333"/>
          <w:sz w:val="28"/>
          <w:szCs w:val="28"/>
        </w:rPr>
        <w:t>:</w:t>
      </w:r>
      <w:r w:rsidR="0053555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>also lowers serum uric acid in a dose</w:t>
      </w:r>
      <w:r w:rsidR="0053555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>dependent</w:t>
      </w:r>
      <w:r w:rsidR="0053555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>manner.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>Clinical</w:t>
      </w:r>
      <w:r w:rsidR="0053555A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 xml:space="preserve">trial evidence demonstrated an </w:t>
      </w:r>
      <w:r w:rsidR="0053555A" w:rsidRP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>increase in all cause and cardiovascular mortality compared to allopurinol</w:t>
      </w:r>
      <w:r w:rsidR="0053555A" w:rsidRPr="0053555A">
        <w:rPr>
          <w:rFonts w:asciiTheme="majorBidi" w:hAnsiTheme="majorBidi" w:cstheme="majorBidi"/>
          <w:color w:val="333333"/>
          <w:sz w:val="28"/>
          <w:szCs w:val="28"/>
        </w:rPr>
        <w:t xml:space="preserve">, resulting in a warning that febuxostat should be reserved for patients unable to take allopurinol. </w:t>
      </w:r>
    </w:p>
    <w:p w14:paraId="3F4A2569" w14:textId="77777777" w:rsidR="0053555A" w:rsidRDefault="0053555A" w:rsidP="0053555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14:paraId="1A8A0F01" w14:textId="77777777" w:rsidR="00A10A8E" w:rsidRPr="00A508F8" w:rsidRDefault="00E45D3F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B-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Uricosurics</w:t>
      </w:r>
    </w:p>
    <w:p w14:paraId="3D6E5562" w14:textId="77777777"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Uricosuric drugs increase renal clearance of uric acid by inhibiting renal tubular reabsorption of uric acid. </w:t>
      </w:r>
    </w:p>
    <w:p w14:paraId="4CCE5709" w14:textId="77777777"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22EDC438" w14:textId="77777777" w:rsidR="008939FF" w:rsidRDefault="00E45D3F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Patients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with a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history of urolithiasis should not receive uricosurics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Maintaining adequate urine flow and urine alkalinization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during the first several days of therapy may also decrease likelihood of uric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acid stone formation. </w:t>
      </w:r>
    </w:p>
    <w:p w14:paraId="168D6AEB" w14:textId="77777777"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4A4B734A" w14:textId="77777777" w:rsidR="00A10A8E" w:rsidRPr="00A508F8" w:rsidRDefault="00E45D3F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C-</w:t>
      </w:r>
      <w:r w:rsidR="00A10A8E" w:rsidRPr="00DA4411">
        <w:rPr>
          <w:rFonts w:asciiTheme="majorBidi" w:hAnsiTheme="majorBidi" w:cstheme="majorBidi"/>
          <w:b/>
          <w:bCs/>
          <w:color w:val="0000FF"/>
          <w:sz w:val="32"/>
          <w:szCs w:val="32"/>
        </w:rPr>
        <w:t>Pegloticase</w:t>
      </w:r>
    </w:p>
    <w:p w14:paraId="4B92C762" w14:textId="77777777" w:rsidR="008939FF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Pegloticase is a pegylated recombinant uricase that reduces serum uric acid by converting uric acid to allantoin, which is water</w:t>
      </w:r>
      <w:r w:rsidR="008939FF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soluble. </w:t>
      </w:r>
    </w:p>
    <w:p w14:paraId="58F7CAD9" w14:textId="77777777" w:rsidR="008939FF" w:rsidRPr="00ED28AB" w:rsidRDefault="008939F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352DD547" w14:textId="77777777" w:rsidR="00A10A8E" w:rsidRPr="00510DD8" w:rsidRDefault="00E45D3F" w:rsidP="008939F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Pegloticase is indicated for antihyperuricemic therapy in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adults refractory to conventional therapy.</w:t>
      </w:r>
    </w:p>
    <w:p w14:paraId="3A5BD498" w14:textId="77777777" w:rsidR="00A012B1" w:rsidRPr="00ED28AB" w:rsidRDefault="00A012B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6FF78FDA" w14:textId="77777777" w:rsidR="00A012B1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Because of potential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infusion-related allergic reactions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patients must be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pretreated with antihistamines and corticosteroids. </w:t>
      </w:r>
    </w:p>
    <w:p w14:paraId="075686B9" w14:textId="77777777" w:rsidR="00A012B1" w:rsidRPr="00ED28AB" w:rsidRDefault="00A012B1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1D7B29AC" w14:textId="77777777" w:rsidR="0053555A" w:rsidRDefault="00E45D3F" w:rsidP="0053555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4-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Pegloticase is substantially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more expensive than first-line urate-lowering therapies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The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ideal duration of pegloticase therapy is unknown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53555A" w:rsidRPr="00BE17AD">
        <w:rPr>
          <w:rFonts w:asciiTheme="majorBidi" w:hAnsiTheme="majorBidi" w:cstheme="majorBidi"/>
          <w:color w:val="333333"/>
          <w:sz w:val="28"/>
          <w:szCs w:val="28"/>
        </w:rPr>
        <w:t>Patients may develop pegloticase antibodies that result in loss of efficacy after several months.</w:t>
      </w:r>
    </w:p>
    <w:p w14:paraId="18FA6362" w14:textId="77777777" w:rsidR="0053555A" w:rsidRPr="00BE17AD" w:rsidRDefault="0053555A" w:rsidP="0053555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58C36D68" w14:textId="77777777" w:rsidR="00A10A8E" w:rsidRPr="00A10A8E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of its limitations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, reserve pegloticase for patients with refractory gout who are unable to take or have failed all other urate-lowering</w:t>
      </w:r>
      <w:r w:rsidR="00A012B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therapies.</w:t>
      </w:r>
    </w:p>
    <w:p w14:paraId="5C492192" w14:textId="77777777" w:rsidR="00A012B1" w:rsidRPr="00ED28AB" w:rsidRDefault="00A012B1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C99C25D" w14:textId="77777777" w:rsidR="00A10A8E" w:rsidRPr="00BE17AD" w:rsidRDefault="00E45D3F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BE17AD">
        <w:rPr>
          <w:rFonts w:asciiTheme="majorBidi" w:hAnsiTheme="majorBidi" w:cstheme="majorBidi"/>
          <w:b/>
          <w:bCs/>
          <w:color w:val="0000FF"/>
          <w:sz w:val="32"/>
          <w:szCs w:val="32"/>
        </w:rPr>
        <w:t>D-</w:t>
      </w:r>
      <w:r w:rsidR="00A10A8E" w:rsidRPr="00BE17AD">
        <w:rPr>
          <w:rFonts w:asciiTheme="majorBidi" w:hAnsiTheme="majorBidi" w:cstheme="majorBidi"/>
          <w:b/>
          <w:bCs/>
          <w:color w:val="0000FF"/>
          <w:sz w:val="32"/>
          <w:szCs w:val="32"/>
        </w:rPr>
        <w:t>Miscellaneous Urate-Lowering Agents</w:t>
      </w:r>
    </w:p>
    <w:p w14:paraId="31C2724E" w14:textId="77777777" w:rsidR="00A10A8E" w:rsidRPr="008E2A0A" w:rsidRDefault="00E45D3F" w:rsidP="008E2A0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>Fenofibrate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is thought to increase clearance of hypoxanthine and xanthine, leading to a susained reduction in serum urate concentrations of</w:t>
      </w:r>
      <w:r w:rsidR="00A012B1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>20%</w:t>
      </w:r>
      <w:r w:rsidR="00A10A8E" w:rsidRPr="00BE17AD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>30%.</w:t>
      </w:r>
      <w:r w:rsidR="00657FF6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657FF6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However, ACR guidelines </w:t>
      </w:r>
      <w:r w:rsidR="00657FF6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lastRenderedPageBreak/>
        <w:t>recommend against changing cholesterol lowering agents to fenofibrate because it is not a preferred therapy in current lipid guidelines.</w:t>
      </w:r>
    </w:p>
    <w:p w14:paraId="0BA7F261" w14:textId="77777777" w:rsidR="00E45D3F" w:rsidRPr="00BE17AD" w:rsidRDefault="00E45D3F" w:rsidP="00A012B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450A3720" w14:textId="77777777" w:rsidR="00657FF6" w:rsidRPr="00657FF6" w:rsidRDefault="00E45D3F" w:rsidP="008E2A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A10A8E" w:rsidRP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>Losartan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inhibits renal tubular reabsorption of uric acid </w:t>
      </w:r>
      <w:r w:rsidR="00A10A8E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and increases urinary excretion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>, properties that are not shared with other angiotensin II</w:t>
      </w:r>
      <w:r w:rsidR="00A012B1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receptor blockers. It also </w:t>
      </w:r>
      <w:r w:rsidR="00A10A8E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alkalinizes the urine</w:t>
      </w:r>
      <w:r w:rsidR="00A10A8E" w:rsidRPr="00BE17AD">
        <w:rPr>
          <w:rFonts w:asciiTheme="majorBidi" w:hAnsiTheme="majorBidi" w:cstheme="majorBidi"/>
          <w:color w:val="333333"/>
          <w:sz w:val="28"/>
          <w:szCs w:val="28"/>
        </w:rPr>
        <w:t>, which helps reduce the risk for stone formation.</w:t>
      </w:r>
      <w:r w:rsidR="00657FF6"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Guidelines recommend </w:t>
      </w:r>
      <w:r w:rsidR="00657FF6"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choosing losartan preferentially as antihypertensive therapy in patients with gout when feasible</w:t>
      </w:r>
      <w:r w:rsidR="00657FF6" w:rsidRPr="00BE17AD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14:paraId="33F18FD5" w14:textId="77777777" w:rsidR="00ED28AB" w:rsidRPr="00ED28AB" w:rsidRDefault="00ED28AB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5527A39D" w14:textId="77777777" w:rsidR="00A10A8E" w:rsidRPr="00ED47D4" w:rsidRDefault="00A10A8E" w:rsidP="00A508F8">
      <w:pPr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ED47D4">
        <w:rPr>
          <w:rFonts w:asciiTheme="majorBidi" w:hAnsiTheme="majorBidi" w:cstheme="majorBidi"/>
          <w:b/>
          <w:bCs/>
          <w:color w:val="FF0000"/>
          <w:sz w:val="28"/>
          <w:szCs w:val="28"/>
        </w:rPr>
        <w:t>Anti-Inflammatory Prophylaxis During Initiation of Urate-Lowering Therapy</w:t>
      </w:r>
    </w:p>
    <w:p w14:paraId="6CBC9194" w14:textId="77777777" w:rsidR="00ED47D4" w:rsidRDefault="00E45D3F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Initiation of urate-lowering therapy can precipitate an acute gout attack due to remodeling of urate crystal deposits in joints after rapid lowering</w:t>
      </w:r>
      <w:r w:rsidR="00ED47D4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of urate concentrations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14:paraId="1929C8EA" w14:textId="77777777" w:rsidR="00ED47D4" w:rsidRPr="00ED28AB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30D6D15" w14:textId="77777777" w:rsidR="00657FF6" w:rsidRPr="00BE17AD" w:rsidRDefault="00E45D3F" w:rsidP="00657F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657FF6" w:rsidRPr="00BE17AD">
        <w:rPr>
          <w:rFonts w:asciiTheme="majorBidi" w:hAnsiTheme="majorBidi" w:cstheme="majorBidi"/>
          <w:b/>
          <w:bCs/>
          <w:color w:val="333333"/>
          <w:sz w:val="28"/>
          <w:szCs w:val="28"/>
        </w:rPr>
        <w:t>Prophylactic anti-inflammatory therapy is recommended to prevent such gout attacks.</w:t>
      </w:r>
    </w:p>
    <w:p w14:paraId="651EA1AF" w14:textId="77777777" w:rsidR="00657FF6" w:rsidRPr="00BE17AD" w:rsidRDefault="00657FF6" w:rsidP="00657F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14:paraId="632D9582" w14:textId="77777777" w:rsidR="00657FF6" w:rsidRDefault="00657FF6" w:rsidP="008E2A0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3-The ACR guidelines strongly recommend </w:t>
      </w:r>
      <w:r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low dose oral colchicine</w:t>
      </w:r>
      <w:r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r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low dose NSAIDs, or</w:t>
      </w:r>
      <w:r w:rsid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prednisone 10 mg daily</w:t>
      </w:r>
      <w:r w:rsidRPr="00BE17AD">
        <w:rPr>
          <w:rFonts w:asciiTheme="majorBidi" w:hAnsiTheme="majorBidi" w:cstheme="majorBidi"/>
          <w:color w:val="333333"/>
          <w:sz w:val="28"/>
          <w:szCs w:val="28"/>
        </w:rPr>
        <w:t xml:space="preserve"> during the </w:t>
      </w:r>
      <w:r w:rsidRPr="008E2A0A">
        <w:rPr>
          <w:rFonts w:asciiTheme="majorBidi" w:hAnsiTheme="majorBidi" w:cstheme="majorBidi"/>
          <w:b/>
          <w:bCs/>
          <w:color w:val="333333"/>
          <w:sz w:val="28"/>
          <w:szCs w:val="28"/>
        </w:rPr>
        <w:t>first 3 to 6 months of urate lowering therapy initiation</w:t>
      </w:r>
      <w:r w:rsidRPr="00BE17AD">
        <w:rPr>
          <w:rFonts w:asciiTheme="majorBidi" w:hAnsiTheme="majorBidi" w:cstheme="majorBidi"/>
          <w:color w:val="333333"/>
          <w:sz w:val="28"/>
          <w:szCs w:val="28"/>
        </w:rPr>
        <w:t>, and longer as needed if gout flares persist.</w:t>
      </w:r>
    </w:p>
    <w:p w14:paraId="66CD7B62" w14:textId="77777777" w:rsidR="00A10A8E" w:rsidRPr="00ED28AB" w:rsidRDefault="00A10A8E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40352AA" w14:textId="77777777" w:rsidR="0045125D" w:rsidRPr="00022299" w:rsidRDefault="00022299" w:rsidP="00CA4528">
      <w:pPr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022299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14:paraId="3E872B75" w14:textId="77777777" w:rsidR="00A10A8E" w:rsidRPr="00A10A8E" w:rsidRDefault="00ED47D4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Check the serum uric acid level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in patients suspected of having an acute gout attack,</w:t>
      </w:r>
      <w:r w:rsidR="00BE17AD">
        <w:rPr>
          <w:rFonts w:asciiTheme="majorBidi" w:hAnsiTheme="majorBidi" w:cstheme="majorBidi"/>
          <w:color w:val="333333"/>
          <w:sz w:val="28"/>
          <w:szCs w:val="28"/>
        </w:rPr>
        <w:t xml:space="preserve"> h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>owever, acute gout can occur with normal serum uric acid concentrations.</w:t>
      </w:r>
    </w:p>
    <w:p w14:paraId="629B1054" w14:textId="77777777" w:rsidR="00ED47D4" w:rsidRPr="00ED28AB" w:rsidRDefault="00ED47D4" w:rsidP="00A1258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71CE44C6" w14:textId="77777777" w:rsidR="00ED47D4" w:rsidRDefault="00E45D3F" w:rsidP="00BE17A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patients with acute gout for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symptomatic relief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of joint pain. </w:t>
      </w:r>
    </w:p>
    <w:p w14:paraId="11314D1A" w14:textId="77777777" w:rsidR="00ED47D4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14:paraId="2B67AAF3" w14:textId="77777777" w:rsidR="00ED47D4" w:rsidRPr="00510DD8" w:rsidRDefault="00485899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45D3F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Because of the high rates of comorbidities associated with gout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 (diabetes, chronic kidney disease, hypertension, obesity, myocardial infarction,</w:t>
      </w:r>
      <w:r w:rsidR="00ED47D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A10A8E" w:rsidRPr="00A10A8E">
        <w:rPr>
          <w:rFonts w:asciiTheme="majorBidi" w:hAnsiTheme="majorBidi" w:cstheme="majorBidi"/>
          <w:color w:val="333333"/>
          <w:sz w:val="28"/>
          <w:szCs w:val="28"/>
        </w:rPr>
        <w:t xml:space="preserve">heart failure, and stroke), elevated serum uric acid concentrations or gout should prompt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>evaluation for cardiovascular disease and the need for</w:t>
      </w:r>
      <w:r w:rsidR="00ED47D4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A10A8E" w:rsidRPr="00510DD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appropriate risk reduction measures. </w:t>
      </w:r>
    </w:p>
    <w:p w14:paraId="4315F136" w14:textId="77777777" w:rsidR="00ED47D4" w:rsidRPr="00ED28AB" w:rsidRDefault="00ED47D4" w:rsidP="00ED47D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14:paraId="3BD382A7" w14:textId="77777777"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14:paraId="3C4818EF" w14:textId="77777777" w:rsidR="00B527DA" w:rsidRP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</w:p>
    <w:p w14:paraId="34F1619E" w14:textId="77777777" w:rsidR="00B527DA" w:rsidRDefault="00B527DA" w:rsidP="00657FF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657FF6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Edition. 202</w:t>
      </w:r>
      <w:r w:rsidR="00657FF6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B527DA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p w14:paraId="1CDC409D" w14:textId="77777777" w:rsidR="00DE1EC3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14:paraId="5D5B7684" w14:textId="77777777" w:rsidR="00DE1EC3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14:paraId="2F1DAF47" w14:textId="77777777" w:rsidR="00DE1EC3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14:paraId="63F45F9D" w14:textId="77777777" w:rsidR="00DE1EC3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14:paraId="27F6A863" w14:textId="77777777" w:rsidR="00DE1EC3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</w:p>
    <w:p w14:paraId="6164FCD6" w14:textId="5AC3D92F" w:rsidR="00DE1EC3" w:rsidRPr="00BB39F6" w:rsidRDefault="00DE1EC3" w:rsidP="00DE1EC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="Diwani Letter" w:hint="cs"/>
          <w:b/>
          <w:bCs/>
          <w:color w:val="333333"/>
          <w:sz w:val="72"/>
          <w:szCs w:val="72"/>
          <w:rtl/>
          <w:lang w:bidi="ar-IQ"/>
        </w:rPr>
      </w:pPr>
      <w:r w:rsidRPr="00BB39F6">
        <w:rPr>
          <w:rFonts w:asciiTheme="majorBidi" w:hAnsiTheme="majorBidi" w:cs="Diwani Letter" w:hint="cs"/>
          <w:b/>
          <w:bCs/>
          <w:color w:val="333333"/>
          <w:sz w:val="72"/>
          <w:szCs w:val="72"/>
          <w:rtl/>
          <w:lang w:bidi="ar-IQ"/>
        </w:rPr>
        <w:t>ليث غضنفر</w:t>
      </w:r>
    </w:p>
    <w:sectPr w:rsidR="00DE1EC3" w:rsidRPr="00BB39F6" w:rsidSect="0049669A">
      <w:footerReference w:type="default" r:id="rId8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09F9" w14:textId="77777777" w:rsidR="0049669A" w:rsidRDefault="0049669A" w:rsidP="009C79FE">
      <w:pPr>
        <w:spacing w:after="0" w:line="240" w:lineRule="auto"/>
      </w:pPr>
      <w:r>
        <w:separator/>
      </w:r>
    </w:p>
  </w:endnote>
  <w:endnote w:type="continuationSeparator" w:id="0">
    <w:p w14:paraId="4FC9303A" w14:textId="77777777" w:rsidR="0049669A" w:rsidRDefault="0049669A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A166A" w14:textId="77777777" w:rsidR="000746CE" w:rsidRDefault="000746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A0A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33A81B4" w14:textId="77777777" w:rsidR="000746CE" w:rsidRDefault="0007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E5BA" w14:textId="77777777" w:rsidR="0049669A" w:rsidRDefault="0049669A" w:rsidP="009C79FE">
      <w:pPr>
        <w:spacing w:after="0" w:line="240" w:lineRule="auto"/>
      </w:pPr>
      <w:r>
        <w:separator/>
      </w:r>
    </w:p>
  </w:footnote>
  <w:footnote w:type="continuationSeparator" w:id="0">
    <w:p w14:paraId="572F9B4F" w14:textId="77777777" w:rsidR="0049669A" w:rsidRDefault="0049669A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2518">
    <w:abstractNumId w:val="8"/>
  </w:num>
  <w:num w:numId="2" w16cid:durableId="964505614">
    <w:abstractNumId w:val="2"/>
  </w:num>
  <w:num w:numId="3" w16cid:durableId="2052336172">
    <w:abstractNumId w:val="5"/>
  </w:num>
  <w:num w:numId="4" w16cid:durableId="1819028294">
    <w:abstractNumId w:val="4"/>
  </w:num>
  <w:num w:numId="5" w16cid:durableId="81487699">
    <w:abstractNumId w:val="3"/>
  </w:num>
  <w:num w:numId="6" w16cid:durableId="1723208568">
    <w:abstractNumId w:val="0"/>
  </w:num>
  <w:num w:numId="7" w16cid:durableId="1384789219">
    <w:abstractNumId w:val="1"/>
  </w:num>
  <w:num w:numId="8" w16cid:durableId="1436827917">
    <w:abstractNumId w:val="6"/>
  </w:num>
  <w:num w:numId="9" w16cid:durableId="1595283324">
    <w:abstractNumId w:val="7"/>
  </w:num>
  <w:num w:numId="10" w16cid:durableId="260643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sDAzMjUzNjE1NzBX0lEKTi0uzszPAykwrAUA7WfyUiwAAAA="/>
  </w:docVars>
  <w:rsids>
    <w:rsidRoot w:val="00085EC1"/>
    <w:rsid w:val="00000CB1"/>
    <w:rsid w:val="00022299"/>
    <w:rsid w:val="00066E93"/>
    <w:rsid w:val="000746CE"/>
    <w:rsid w:val="00085EC1"/>
    <w:rsid w:val="000A0F8D"/>
    <w:rsid w:val="000A39DD"/>
    <w:rsid w:val="000D6AAF"/>
    <w:rsid w:val="000F5BCB"/>
    <w:rsid w:val="000F5D8E"/>
    <w:rsid w:val="00126BAA"/>
    <w:rsid w:val="001369C1"/>
    <w:rsid w:val="001467B2"/>
    <w:rsid w:val="00153CB4"/>
    <w:rsid w:val="0018108D"/>
    <w:rsid w:val="001835C9"/>
    <w:rsid w:val="001A0CEA"/>
    <w:rsid w:val="001A4491"/>
    <w:rsid w:val="001B1C18"/>
    <w:rsid w:val="001C7900"/>
    <w:rsid w:val="001E6AD2"/>
    <w:rsid w:val="001F3F9F"/>
    <w:rsid w:val="001F6396"/>
    <w:rsid w:val="00202D23"/>
    <w:rsid w:val="0023109D"/>
    <w:rsid w:val="00240FC2"/>
    <w:rsid w:val="00293D7B"/>
    <w:rsid w:val="002A56DF"/>
    <w:rsid w:val="002C5D0B"/>
    <w:rsid w:val="002F42C5"/>
    <w:rsid w:val="00307E17"/>
    <w:rsid w:val="00324617"/>
    <w:rsid w:val="00324E72"/>
    <w:rsid w:val="003310D9"/>
    <w:rsid w:val="00337A94"/>
    <w:rsid w:val="00347D77"/>
    <w:rsid w:val="00394517"/>
    <w:rsid w:val="003C1E95"/>
    <w:rsid w:val="003D563D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611"/>
    <w:rsid w:val="0045071B"/>
    <w:rsid w:val="0045125D"/>
    <w:rsid w:val="004722A3"/>
    <w:rsid w:val="004752B9"/>
    <w:rsid w:val="0048401C"/>
    <w:rsid w:val="00485899"/>
    <w:rsid w:val="00487060"/>
    <w:rsid w:val="0049669A"/>
    <w:rsid w:val="004A73A6"/>
    <w:rsid w:val="004B2945"/>
    <w:rsid w:val="004B42A8"/>
    <w:rsid w:val="004B6F1E"/>
    <w:rsid w:val="004C32E3"/>
    <w:rsid w:val="004E1DCC"/>
    <w:rsid w:val="004F663A"/>
    <w:rsid w:val="00510DD8"/>
    <w:rsid w:val="00516926"/>
    <w:rsid w:val="00525FA9"/>
    <w:rsid w:val="0053555A"/>
    <w:rsid w:val="005627C5"/>
    <w:rsid w:val="00583888"/>
    <w:rsid w:val="005A7FF5"/>
    <w:rsid w:val="005B32AA"/>
    <w:rsid w:val="005C3F80"/>
    <w:rsid w:val="005D1A07"/>
    <w:rsid w:val="005D3E7B"/>
    <w:rsid w:val="00622897"/>
    <w:rsid w:val="0062558E"/>
    <w:rsid w:val="0063410E"/>
    <w:rsid w:val="0065062A"/>
    <w:rsid w:val="00653546"/>
    <w:rsid w:val="00655FED"/>
    <w:rsid w:val="00657FF6"/>
    <w:rsid w:val="00660CED"/>
    <w:rsid w:val="00690A20"/>
    <w:rsid w:val="006D0591"/>
    <w:rsid w:val="00701BAE"/>
    <w:rsid w:val="00721505"/>
    <w:rsid w:val="007404A7"/>
    <w:rsid w:val="00741490"/>
    <w:rsid w:val="00747F03"/>
    <w:rsid w:val="00761A5B"/>
    <w:rsid w:val="007621C3"/>
    <w:rsid w:val="00773A31"/>
    <w:rsid w:val="007A0A8A"/>
    <w:rsid w:val="007B6004"/>
    <w:rsid w:val="007E68A8"/>
    <w:rsid w:val="007F19A1"/>
    <w:rsid w:val="00804049"/>
    <w:rsid w:val="00804825"/>
    <w:rsid w:val="008939FF"/>
    <w:rsid w:val="008A3B3F"/>
    <w:rsid w:val="008B29AF"/>
    <w:rsid w:val="008B3138"/>
    <w:rsid w:val="008B4BC1"/>
    <w:rsid w:val="008D2536"/>
    <w:rsid w:val="008D5E15"/>
    <w:rsid w:val="008D7966"/>
    <w:rsid w:val="008E28D7"/>
    <w:rsid w:val="008E2A0A"/>
    <w:rsid w:val="00925EA6"/>
    <w:rsid w:val="00926008"/>
    <w:rsid w:val="009359FF"/>
    <w:rsid w:val="00956398"/>
    <w:rsid w:val="009608D6"/>
    <w:rsid w:val="00987645"/>
    <w:rsid w:val="00991827"/>
    <w:rsid w:val="009B0D47"/>
    <w:rsid w:val="009B224B"/>
    <w:rsid w:val="009C4D71"/>
    <w:rsid w:val="009C79FE"/>
    <w:rsid w:val="009D31BD"/>
    <w:rsid w:val="009E60CC"/>
    <w:rsid w:val="00A012B1"/>
    <w:rsid w:val="00A07CCC"/>
    <w:rsid w:val="00A10A8E"/>
    <w:rsid w:val="00A12584"/>
    <w:rsid w:val="00A130CF"/>
    <w:rsid w:val="00A26085"/>
    <w:rsid w:val="00A4401F"/>
    <w:rsid w:val="00A508F8"/>
    <w:rsid w:val="00A5155A"/>
    <w:rsid w:val="00A51CD2"/>
    <w:rsid w:val="00A532FE"/>
    <w:rsid w:val="00A54FEB"/>
    <w:rsid w:val="00A7600B"/>
    <w:rsid w:val="00A8009A"/>
    <w:rsid w:val="00A83FB6"/>
    <w:rsid w:val="00A966DA"/>
    <w:rsid w:val="00A969AE"/>
    <w:rsid w:val="00AB66BE"/>
    <w:rsid w:val="00AD10F0"/>
    <w:rsid w:val="00AD3BD4"/>
    <w:rsid w:val="00AD761C"/>
    <w:rsid w:val="00AE1E84"/>
    <w:rsid w:val="00AF560B"/>
    <w:rsid w:val="00B17CB0"/>
    <w:rsid w:val="00B361A8"/>
    <w:rsid w:val="00B503F7"/>
    <w:rsid w:val="00B527DA"/>
    <w:rsid w:val="00B72E59"/>
    <w:rsid w:val="00B75789"/>
    <w:rsid w:val="00B834B0"/>
    <w:rsid w:val="00B94318"/>
    <w:rsid w:val="00BB39F6"/>
    <w:rsid w:val="00BD69C4"/>
    <w:rsid w:val="00BE17AD"/>
    <w:rsid w:val="00BE5327"/>
    <w:rsid w:val="00BE6797"/>
    <w:rsid w:val="00BF062B"/>
    <w:rsid w:val="00C2374F"/>
    <w:rsid w:val="00C3347D"/>
    <w:rsid w:val="00C35779"/>
    <w:rsid w:val="00C75F21"/>
    <w:rsid w:val="00CA4528"/>
    <w:rsid w:val="00CB0602"/>
    <w:rsid w:val="00CD0420"/>
    <w:rsid w:val="00CD44AB"/>
    <w:rsid w:val="00D06001"/>
    <w:rsid w:val="00D06DBA"/>
    <w:rsid w:val="00D16FD5"/>
    <w:rsid w:val="00D35FDB"/>
    <w:rsid w:val="00D4331A"/>
    <w:rsid w:val="00D85713"/>
    <w:rsid w:val="00DA4411"/>
    <w:rsid w:val="00DA6BB8"/>
    <w:rsid w:val="00DB7551"/>
    <w:rsid w:val="00DD24DE"/>
    <w:rsid w:val="00DD3B5C"/>
    <w:rsid w:val="00DD3E17"/>
    <w:rsid w:val="00DD4C24"/>
    <w:rsid w:val="00DD5DCF"/>
    <w:rsid w:val="00DE1EC3"/>
    <w:rsid w:val="00DE719C"/>
    <w:rsid w:val="00DF25A3"/>
    <w:rsid w:val="00E0566E"/>
    <w:rsid w:val="00E05705"/>
    <w:rsid w:val="00E26382"/>
    <w:rsid w:val="00E407F9"/>
    <w:rsid w:val="00E45D3F"/>
    <w:rsid w:val="00E67F14"/>
    <w:rsid w:val="00E7219D"/>
    <w:rsid w:val="00E861CC"/>
    <w:rsid w:val="00E90342"/>
    <w:rsid w:val="00EA27D9"/>
    <w:rsid w:val="00EA3500"/>
    <w:rsid w:val="00EA6753"/>
    <w:rsid w:val="00EB0B76"/>
    <w:rsid w:val="00EB1305"/>
    <w:rsid w:val="00ED28AB"/>
    <w:rsid w:val="00ED47D4"/>
    <w:rsid w:val="00EF71B5"/>
    <w:rsid w:val="00F00195"/>
    <w:rsid w:val="00F0769C"/>
    <w:rsid w:val="00F27D50"/>
    <w:rsid w:val="00F31CDC"/>
    <w:rsid w:val="00F51847"/>
    <w:rsid w:val="00F73EC3"/>
    <w:rsid w:val="00FA2811"/>
    <w:rsid w:val="00FC749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3D65"/>
  <w15:docId w15:val="{903C5EDB-3E24-44A2-A303-868A307B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2136-C095-4ABB-A990-1F010D7B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Ekhlas</cp:lastModifiedBy>
  <cp:revision>62</cp:revision>
  <cp:lastPrinted>2023-05-01T08:58:00Z</cp:lastPrinted>
  <dcterms:created xsi:type="dcterms:W3CDTF">2020-05-04T12:27:00Z</dcterms:created>
  <dcterms:modified xsi:type="dcterms:W3CDTF">2024-01-30T17:19:00Z</dcterms:modified>
</cp:coreProperties>
</file>