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52BA" w14:textId="19A55BA4" w:rsidR="00DE1EC3" w:rsidRPr="00DE1EC3" w:rsidRDefault="00DE1EC3" w:rsidP="00E861CC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bidi="ar-SY"/>
        </w:rPr>
      </w:pPr>
      <w:r w:rsidRPr="00DE1EC3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bidi="ar-SY"/>
        </w:rPr>
        <w:t>(Lec 1)</w:t>
      </w:r>
    </w:p>
    <w:p w14:paraId="664CB79C" w14:textId="60CF6F3D" w:rsidR="00E0566E" w:rsidRPr="0045125D" w:rsidRDefault="00E0566E" w:rsidP="00DE1EC3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4F81BD"/>
          <w:sz w:val="28"/>
          <w:szCs w:val="28"/>
        </w:rPr>
      </w:pPr>
      <w:r w:rsidRPr="0045125D">
        <w:rPr>
          <w:rFonts w:asciiTheme="majorBidi" w:eastAsia="Times New Roman" w:hAnsiTheme="majorBidi" w:cstheme="majorBidi"/>
          <w:b/>
          <w:bCs/>
          <w:sz w:val="28"/>
          <w:szCs w:val="28"/>
          <w:lang w:bidi="ar-SY"/>
        </w:rPr>
        <w:t>Fourth year. Clinical Pharmacy</w:t>
      </w:r>
    </w:p>
    <w:p w14:paraId="282CD668" w14:textId="77777777" w:rsidR="00E0566E" w:rsidRPr="00E45D3F" w:rsidRDefault="00E45D3F" w:rsidP="00E45D3F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</w:pPr>
      <w:r w:rsidRPr="00E45D3F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>Rheumatologic Disorders</w:t>
      </w:r>
    </w:p>
    <w:p w14:paraId="5B2A1B7C" w14:textId="77777777" w:rsidR="00E0566E" w:rsidRPr="00A10A8E" w:rsidRDefault="00A10A8E" w:rsidP="00E861C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  <w:lang w:bidi="ar-IQ"/>
        </w:rPr>
      </w:pPr>
      <w:r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 </w:t>
      </w:r>
      <w:r w:rsidRPr="00A10A8E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>Gout and Hyperuricemia</w:t>
      </w:r>
      <w:r w:rsidR="0045125D" w:rsidRPr="00A10A8E">
        <w:rPr>
          <w:rFonts w:asciiTheme="majorBidi" w:eastAsia="Times New Roman" w:hAnsiTheme="majorBidi" w:cstheme="majorBidi" w:hint="cs"/>
          <w:b/>
          <w:bCs/>
          <w:color w:val="0000FF"/>
          <w:sz w:val="32"/>
          <w:szCs w:val="32"/>
          <w:rtl/>
          <w:lang w:bidi="ar-IQ"/>
        </w:rPr>
        <w:t xml:space="preserve">   </w:t>
      </w:r>
    </w:p>
    <w:p w14:paraId="796D5DBA" w14:textId="77777777" w:rsidR="0045125D" w:rsidRPr="000746CE" w:rsidRDefault="0045125D" w:rsidP="00A508F8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Introduction </w:t>
      </w:r>
    </w:p>
    <w:p w14:paraId="73B1A82C" w14:textId="77777777" w:rsidR="00925EA6" w:rsidRDefault="00925EA6" w:rsidP="00925E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BE17AD">
        <w:rPr>
          <w:rFonts w:asciiTheme="majorBidi" w:hAnsiTheme="majorBidi" w:cstheme="majorBidi"/>
          <w:color w:val="333333"/>
          <w:sz w:val="28"/>
          <w:szCs w:val="28"/>
        </w:rPr>
        <w:t xml:space="preserve">Gout involves an </w:t>
      </w:r>
      <w:r w:rsidRPr="008E2A0A">
        <w:rPr>
          <w:rFonts w:asciiTheme="majorBidi" w:hAnsiTheme="majorBidi" w:cstheme="majorBidi"/>
          <w:b/>
          <w:bCs/>
          <w:color w:val="333333"/>
          <w:sz w:val="28"/>
          <w:szCs w:val="28"/>
        </w:rPr>
        <w:t>inflammatory response to precipitation of monosodium urate (MSU) crystals in both articular and nonarticular tissues</w:t>
      </w:r>
      <w:r w:rsidRPr="00BE17AD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14:paraId="018D86B7" w14:textId="77777777" w:rsidR="00925EA6" w:rsidRDefault="00925EA6" w:rsidP="00925E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14:paraId="2D75CF28" w14:textId="77777777" w:rsidR="00A10A8E" w:rsidRDefault="00A10A8E" w:rsidP="00A508F8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>A</w:t>
      </w:r>
      <w:r w:rsidRPr="00A10A8E">
        <w:rPr>
          <w:rFonts w:asciiTheme="majorBidi" w:hAnsiTheme="majorBidi" w:cstheme="majorBidi"/>
          <w:b/>
          <w:bCs/>
          <w:color w:val="FF0000"/>
          <w:sz w:val="32"/>
          <w:szCs w:val="32"/>
        </w:rPr>
        <w:t>cute gouty arthritis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: p</w:t>
      </w:r>
      <w:r w:rsidR="000746CE"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>athophysiology</w:t>
      </w:r>
    </w:p>
    <w:p w14:paraId="1B98FF9C" w14:textId="77777777" w:rsidR="00A10A8E" w:rsidRPr="00A10A8E" w:rsidRDefault="00DB7551" w:rsidP="004858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485899"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An increased urate pool in individuals with gout may result from </w:t>
      </w:r>
      <w:r w:rsidR="00A10A8E" w:rsidRPr="00DB7551">
        <w:rPr>
          <w:rFonts w:asciiTheme="majorBidi" w:hAnsiTheme="majorBidi" w:cstheme="majorBidi"/>
          <w:b/>
          <w:bCs/>
          <w:color w:val="333333"/>
          <w:sz w:val="28"/>
          <w:szCs w:val="28"/>
        </w:rPr>
        <w:t>overproduction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or</w:t>
      </w:r>
      <w:r w:rsidR="00A1258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DB7551">
        <w:rPr>
          <w:rFonts w:asciiTheme="majorBidi" w:hAnsiTheme="majorBidi" w:cstheme="majorBidi"/>
          <w:b/>
          <w:bCs/>
          <w:color w:val="333333"/>
          <w:sz w:val="28"/>
          <w:szCs w:val="28"/>
        </w:rPr>
        <w:t>underexcretion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14:paraId="5792CCFD" w14:textId="77777777" w:rsidR="00A12584" w:rsidRPr="00ED28AB" w:rsidRDefault="00A12584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14:paraId="35CEE8C7" w14:textId="77777777" w:rsidR="00A10A8E" w:rsidRPr="00A10A8E" w:rsidRDefault="00485899" w:rsidP="00BE17A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Overproduction of uric acid may result from </w:t>
      </w:r>
      <w:r w:rsidR="00A10A8E" w:rsidRPr="00DB7551">
        <w:rPr>
          <w:rFonts w:asciiTheme="majorBidi" w:hAnsiTheme="majorBidi" w:cstheme="majorBidi"/>
          <w:b/>
          <w:bCs/>
          <w:color w:val="333333"/>
          <w:sz w:val="28"/>
          <w:szCs w:val="28"/>
        </w:rPr>
        <w:t>abnormalities in enzyme systems that regulate purine metabolism</w:t>
      </w:r>
      <w:r w:rsidR="00DB7551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Cytotoxic drugs can result in overproduction of uric acid due to </w:t>
      </w:r>
      <w:r w:rsidR="00A10A8E" w:rsidRPr="00DB7551">
        <w:rPr>
          <w:rFonts w:asciiTheme="majorBidi" w:hAnsiTheme="majorBidi" w:cstheme="majorBidi"/>
          <w:b/>
          <w:bCs/>
          <w:color w:val="333333"/>
          <w:sz w:val="28"/>
          <w:szCs w:val="28"/>
        </w:rPr>
        <w:t>lysis and the breakdown of cellular matter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14:paraId="5DC4FACD" w14:textId="77777777" w:rsidR="00A12584" w:rsidRPr="00ED28AB" w:rsidRDefault="00A12584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14:paraId="68D66283" w14:textId="77777777" w:rsidR="00A10A8E" w:rsidRPr="00A10A8E" w:rsidRDefault="00485899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3</w:t>
      </w:r>
      <w:r w:rsidR="00DB7551">
        <w:rPr>
          <w:rFonts w:asciiTheme="majorBidi" w:hAnsiTheme="majorBidi" w:cstheme="majorBidi"/>
          <w:b/>
          <w:bCs/>
          <w:color w:val="333333"/>
          <w:sz w:val="28"/>
          <w:szCs w:val="28"/>
        </w:rPr>
        <w:t>-</w:t>
      </w:r>
      <w:r w:rsidR="00A10A8E" w:rsidRPr="00DB7551">
        <w:rPr>
          <w:rFonts w:asciiTheme="majorBidi" w:hAnsiTheme="majorBidi" w:cstheme="majorBidi"/>
          <w:b/>
          <w:bCs/>
          <w:color w:val="333333"/>
          <w:sz w:val="28"/>
          <w:szCs w:val="28"/>
        </w:rPr>
        <w:t>Dietary purines are insignificant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in generating hyperuricemia without some derangement in purine metabolism or elimination.</w:t>
      </w:r>
    </w:p>
    <w:p w14:paraId="038E25D8" w14:textId="77777777" w:rsidR="00A12584" w:rsidRPr="00ED28AB" w:rsidRDefault="00A12584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14:paraId="7F4E724F" w14:textId="77777777" w:rsidR="00DB7551" w:rsidRPr="00A10A8E" w:rsidRDefault="00485899" w:rsidP="00DB75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</w:t>
      </w:r>
      <w:r w:rsidR="00DB7551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Two-thirds of uric acid produced daily is excreted in urine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. The remainder is eliminated through gastrointestinal (GI) tract after degradation by</w:t>
      </w:r>
      <w:r w:rsidR="00DB755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colonic bacteria. Decline in urinary excretion leads to hyperuricemia</w:t>
      </w:r>
      <w:r w:rsidR="00DB7551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14:paraId="7F842C4B" w14:textId="77777777" w:rsidR="00A12584" w:rsidRPr="00ED28AB" w:rsidRDefault="00A12584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14:paraId="0CA43328" w14:textId="77777777" w:rsidR="00066E93" w:rsidRDefault="00485899" w:rsidP="00066E9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BE17AD">
        <w:rPr>
          <w:rFonts w:asciiTheme="majorBidi" w:hAnsiTheme="majorBidi" w:cstheme="majorBidi"/>
          <w:color w:val="333333"/>
          <w:sz w:val="28"/>
          <w:szCs w:val="28"/>
        </w:rPr>
        <w:t>5</w:t>
      </w:r>
      <w:r w:rsidR="00DB7551" w:rsidRPr="00BE17AD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066E93" w:rsidRPr="00BE17AD">
        <w:rPr>
          <w:rFonts w:asciiTheme="majorBidi" w:hAnsiTheme="majorBidi" w:cstheme="majorBidi"/>
          <w:color w:val="333333"/>
          <w:sz w:val="28"/>
          <w:szCs w:val="28"/>
        </w:rPr>
        <w:t xml:space="preserve">Some drugs </w:t>
      </w:r>
      <w:r w:rsidR="00066E93" w:rsidRPr="00BE17AD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decrease renal uric acid clearance like </w:t>
      </w:r>
      <w:r w:rsidR="00066E93" w:rsidRPr="00BE17AD">
        <w:rPr>
          <w:rFonts w:asciiTheme="majorBidi" w:hAnsiTheme="majorBidi" w:cstheme="majorBidi"/>
          <w:color w:val="333333"/>
          <w:sz w:val="28"/>
          <w:szCs w:val="28"/>
        </w:rPr>
        <w:t>diuretics.</w:t>
      </w:r>
    </w:p>
    <w:p w14:paraId="124B4D64" w14:textId="77777777" w:rsidR="00066E93" w:rsidRPr="00BE17AD" w:rsidRDefault="00066E93" w:rsidP="00066E9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14:paraId="6DE4B038" w14:textId="77777777" w:rsidR="00A10A8E" w:rsidRPr="00A10A8E" w:rsidRDefault="00485899" w:rsidP="004858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</w:t>
      </w:r>
      <w:r w:rsidR="00DB7551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Deposition of urate crystals in synovial fluid results in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inflammation</w:t>
      </w:r>
      <w:r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14:paraId="79494BB4" w14:textId="77777777" w:rsidR="00A12584" w:rsidRPr="00BE17AD" w:rsidRDefault="00A12584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14:paraId="0BEA1FDF" w14:textId="77777777" w:rsidR="00A10A8E" w:rsidRPr="00A10A8E" w:rsidRDefault="00485899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</w:t>
      </w:r>
      <w:r w:rsidR="00DB7551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Uric acid nephrolithiasis occurs in </w:t>
      </w:r>
      <w:r w:rsidR="00A10A8E" w:rsidRPr="009359FF">
        <w:rPr>
          <w:rFonts w:asciiTheme="majorBidi" w:hAnsiTheme="majorBidi" w:cstheme="majorBidi" w:hint="eastAsia"/>
          <w:b/>
          <w:bCs/>
          <w:color w:val="333333"/>
          <w:sz w:val="28"/>
          <w:szCs w:val="28"/>
        </w:rPr>
        <w:t>∼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10% of patients with gout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. Predisposing factors include excessive urinary excretion of uric acid, acidic urine</w:t>
      </w:r>
      <w:r w:rsidR="00A1258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(pH &lt;6), and highly concentrated urine.</w:t>
      </w:r>
    </w:p>
    <w:p w14:paraId="2FD55BA5" w14:textId="77777777" w:rsidR="00A12584" w:rsidRPr="00ED28AB" w:rsidRDefault="00A12584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14:paraId="2729942C" w14:textId="77777777" w:rsidR="00A10A8E" w:rsidRPr="00A10A8E" w:rsidRDefault="00485899" w:rsidP="00DB75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8</w:t>
      </w:r>
      <w:r w:rsidR="00DB7551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In acute uric acid nephropathy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, acute kidney injury occurs because of blockage of urine flow from massive precipitation of uric acid crystals in</w:t>
      </w:r>
      <w:r w:rsidR="00A1258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collecting ducts and ureters.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Chronic urate nephropathy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is caused by long-term deposition of urate crystals in the renal parenchyma.</w:t>
      </w:r>
    </w:p>
    <w:p w14:paraId="01261D8D" w14:textId="77777777" w:rsidR="00A12584" w:rsidRPr="00ED28AB" w:rsidRDefault="00A12584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14:paraId="2E485B3A" w14:textId="77777777" w:rsidR="0045125D" w:rsidRPr="00A10A8E" w:rsidRDefault="00485899" w:rsidP="00BE17A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9</w:t>
      </w:r>
      <w:r w:rsidR="00DB7551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Tophi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urate deposits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) are uncommon and are a late complication of hyperuricemia. </w:t>
      </w:r>
    </w:p>
    <w:p w14:paraId="28E091F8" w14:textId="77777777" w:rsidR="000746CE" w:rsidRPr="00ED28AB" w:rsidRDefault="000746C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14:paraId="4A4CAA87" w14:textId="77777777" w:rsidR="0045125D" w:rsidRPr="000746CE" w:rsidRDefault="000746CE" w:rsidP="00A508F8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>Clinical  presentation</w:t>
      </w:r>
    </w:p>
    <w:p w14:paraId="7A36CD8D" w14:textId="77777777" w:rsidR="00DA4411" w:rsidRDefault="00DB7551" w:rsidP="00DA441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Acute gout attacks are characterized by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rapid onset of excruciating pain, swelling, and inflammation. The attack is typically monoarticular, most</w:t>
      </w:r>
      <w:r w:rsidR="00DA441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often affecting the first metatarsophalangeal joint (podagra), and then, in order of frequency, the insteps, ankles, heels, knees, wrists, fingers, and</w:t>
      </w:r>
      <w:r w:rsidR="00DA441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elbows. </w:t>
      </w:r>
    </w:p>
    <w:p w14:paraId="23788DEA" w14:textId="77777777" w:rsidR="00DA4411" w:rsidRPr="00ED28AB" w:rsidRDefault="00DA4411" w:rsidP="00DA441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14:paraId="62E90EDD" w14:textId="77777777" w:rsidR="000746CE" w:rsidRDefault="00DB7551" w:rsidP="00DA441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Attacks commonly begin at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night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, with the patient awakening with excruciating pain. Affected joints are erythematous, warm, and swollen.</w:t>
      </w:r>
    </w:p>
    <w:p w14:paraId="21EC31B8" w14:textId="77777777" w:rsidR="00A10A8E" w:rsidRPr="00ED28AB" w:rsidRDefault="00A10A8E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14:paraId="7D3C15DD" w14:textId="77777777" w:rsidR="00A10A8E" w:rsidRPr="00A10A8E" w:rsidRDefault="00DB7551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Fever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and l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eukocytosis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are common. Untreated attacks last from 3 to 14 days before spontaneous recovery.</w:t>
      </w:r>
    </w:p>
    <w:p w14:paraId="051FBE11" w14:textId="77777777" w:rsidR="00DA4411" w:rsidRPr="00ED28AB" w:rsidRDefault="00DA4411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14:paraId="2DCB528A" w14:textId="77777777" w:rsidR="00A10A8E" w:rsidRDefault="00DB7551" w:rsidP="00DA441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lastRenderedPageBreak/>
        <w:t>4-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Acute attacks may occur without provocation or be precipitated by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stress, trauma, alcohol ingestion, infection, surgery, rapid lowering of serum</w:t>
      </w:r>
      <w:r w:rsidR="00DA441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uric acid by uric acid-lowering agents, and ingestion of drugs known to elevate serum uric acid concentrations.</w:t>
      </w:r>
    </w:p>
    <w:p w14:paraId="6C2A5318" w14:textId="77777777" w:rsidR="00DA4411" w:rsidRPr="00ED28AB" w:rsidRDefault="00DA4411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14:paraId="2EC2AD31" w14:textId="77777777" w:rsidR="00A10A8E" w:rsidRDefault="000746CE" w:rsidP="00A508F8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>Diagnosis</w:t>
      </w:r>
    </w:p>
    <w:p w14:paraId="7D7AF2CF" w14:textId="77777777" w:rsidR="00A10A8E" w:rsidRPr="00A10A8E" w:rsidRDefault="00DA4411" w:rsidP="00BE17A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Definitive diagnosis requires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aspiration of synovial fluid from the affected joint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and identification of intracellular</w:t>
      </w:r>
      <w:r w:rsidR="00066E93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066E93" w:rsidRPr="00BE17AD">
        <w:rPr>
          <w:rFonts w:asciiTheme="majorBidi" w:hAnsiTheme="majorBidi" w:cstheme="majorBidi"/>
          <w:color w:val="333333"/>
          <w:sz w:val="28"/>
          <w:szCs w:val="28"/>
        </w:rPr>
        <w:t>MSU crystals</w:t>
      </w:r>
      <w:r w:rsidR="00066E93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in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synovial fluid leukocytes.</w:t>
      </w:r>
    </w:p>
    <w:p w14:paraId="70C1F05F" w14:textId="77777777" w:rsidR="00DA4411" w:rsidRPr="00ED28AB" w:rsidRDefault="00DA4411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14:paraId="5B2F7268" w14:textId="77777777" w:rsidR="00A10A8E" w:rsidRPr="00A10A8E" w:rsidRDefault="00DA4411" w:rsidP="00BE17A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When joint aspiration is not feasible, </w:t>
      </w:r>
      <w:r w:rsidR="00066E93" w:rsidRPr="00BE17AD">
        <w:rPr>
          <w:rFonts w:asciiTheme="majorBidi" w:hAnsiTheme="majorBidi" w:cstheme="majorBidi"/>
          <w:color w:val="333333"/>
          <w:sz w:val="28"/>
          <w:szCs w:val="28"/>
        </w:rPr>
        <w:t>the diagnosis can be made</w:t>
      </w:r>
      <w:r w:rsidR="00066E93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based on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presence of characteristic signs and symptoms as well as the response</w:t>
      </w:r>
      <w:r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to treatment.</w:t>
      </w:r>
    </w:p>
    <w:p w14:paraId="4644F066" w14:textId="77777777" w:rsidR="0045125D" w:rsidRPr="00ED28AB" w:rsidRDefault="000746CE" w:rsidP="00A10A8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  <w:r w:rsidRPr="00ED28AB">
        <w:rPr>
          <w:rFonts w:asciiTheme="majorBidi" w:hAnsiTheme="majorBidi" w:cstheme="majorBidi"/>
          <w:b/>
          <w:bCs/>
          <w:color w:val="FF0000"/>
          <w:sz w:val="16"/>
          <w:szCs w:val="16"/>
        </w:rPr>
        <w:t xml:space="preserve"> </w:t>
      </w:r>
    </w:p>
    <w:p w14:paraId="5DC7531E" w14:textId="77777777" w:rsidR="0045125D" w:rsidRDefault="00405882" w:rsidP="00A508F8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405882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Treatment </w:t>
      </w:r>
    </w:p>
    <w:p w14:paraId="42CC8C7A" w14:textId="77777777" w:rsidR="00A10A8E" w:rsidRPr="00A10A8E" w:rsidRDefault="00A10A8E" w:rsidP="00DA441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Goals of Treatment</w:t>
      </w:r>
      <w:r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: </w:t>
      </w:r>
      <w:r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Terminate the acute attack</w:t>
      </w:r>
      <w:r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prevent recurrent attacks</w:t>
      </w:r>
      <w:r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r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prevent complications </w:t>
      </w:r>
      <w:r w:rsidRPr="00A10A8E">
        <w:rPr>
          <w:rFonts w:asciiTheme="majorBidi" w:hAnsiTheme="majorBidi" w:cstheme="majorBidi"/>
          <w:color w:val="333333"/>
          <w:sz w:val="28"/>
          <w:szCs w:val="28"/>
        </w:rPr>
        <w:t>associated with chronic deposition of urate</w:t>
      </w:r>
      <w:r w:rsidR="00DA441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A10A8E">
        <w:rPr>
          <w:rFonts w:asciiTheme="majorBidi" w:hAnsiTheme="majorBidi" w:cstheme="majorBidi"/>
          <w:color w:val="333333"/>
          <w:sz w:val="28"/>
          <w:szCs w:val="28"/>
        </w:rPr>
        <w:t>crystals in tissues.</w:t>
      </w:r>
    </w:p>
    <w:p w14:paraId="3C35F159" w14:textId="77777777" w:rsidR="00405882" w:rsidRPr="004A73A6" w:rsidRDefault="00405882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14:paraId="7C78B2AD" w14:textId="77777777" w:rsidR="0045125D" w:rsidRDefault="0045125D" w:rsidP="00A508F8">
      <w:pPr>
        <w:autoSpaceDE w:val="0"/>
        <w:autoSpaceDN w:val="0"/>
        <w:bidi w:val="0"/>
        <w:adjustRightInd w:val="0"/>
        <w:spacing w:after="0" w:line="240" w:lineRule="auto"/>
        <w:jc w:val="both"/>
        <w:outlineLvl w:val="1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405882">
        <w:rPr>
          <w:rFonts w:asciiTheme="majorBidi" w:hAnsiTheme="majorBidi" w:cstheme="majorBidi"/>
          <w:b/>
          <w:bCs/>
          <w:color w:val="0000FF"/>
          <w:sz w:val="32"/>
          <w:szCs w:val="32"/>
        </w:rPr>
        <w:t>Nonpharmacologic Therapy</w:t>
      </w:r>
    </w:p>
    <w:p w14:paraId="3D6BA4C3" w14:textId="77777777" w:rsidR="00A10A8E" w:rsidRPr="00A10A8E" w:rsidRDefault="00DB7551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Local ice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application is the most effective adjunctive treatment.</w:t>
      </w:r>
    </w:p>
    <w:p w14:paraId="659CA7E0" w14:textId="77777777" w:rsidR="00DB7551" w:rsidRPr="00ED28AB" w:rsidRDefault="00DB7551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14:paraId="45E130D0" w14:textId="77777777" w:rsidR="00A10A8E" w:rsidRPr="009359FF" w:rsidRDefault="00DB7551" w:rsidP="00DB75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Dietary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supplements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(eg, flaxseed, cherry, celery root)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are not recommended</w:t>
      </w:r>
      <w:r w:rsid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.</w:t>
      </w:r>
    </w:p>
    <w:p w14:paraId="6B1A7FBD" w14:textId="77777777" w:rsidR="00405882" w:rsidRPr="00ED28AB" w:rsidRDefault="00405882" w:rsidP="00A10A8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333333"/>
          <w:sz w:val="16"/>
          <w:szCs w:val="16"/>
        </w:rPr>
      </w:pPr>
    </w:p>
    <w:p w14:paraId="72A3703D" w14:textId="77777777" w:rsidR="0045125D" w:rsidRPr="00405882" w:rsidRDefault="0045125D" w:rsidP="00A508F8">
      <w:pPr>
        <w:autoSpaceDE w:val="0"/>
        <w:autoSpaceDN w:val="0"/>
        <w:bidi w:val="0"/>
        <w:adjustRightInd w:val="0"/>
        <w:spacing w:after="0" w:line="240" w:lineRule="auto"/>
        <w:jc w:val="both"/>
        <w:outlineLvl w:val="1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405882">
        <w:rPr>
          <w:rFonts w:asciiTheme="majorBidi" w:hAnsiTheme="majorBidi" w:cstheme="majorBidi"/>
          <w:b/>
          <w:bCs/>
          <w:color w:val="0000FF"/>
          <w:sz w:val="32"/>
          <w:szCs w:val="32"/>
        </w:rPr>
        <w:t>Pharmacologic Therapy</w:t>
      </w:r>
    </w:p>
    <w:p w14:paraId="0315DAA9" w14:textId="77777777" w:rsidR="008D5E15" w:rsidRPr="00A10A8E" w:rsidRDefault="00A10A8E" w:rsidP="00DA441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Most patients are treated successfully with </w:t>
      </w:r>
      <w:r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NSAIDs</w:t>
      </w:r>
      <w:r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corticosteroids</w:t>
      </w:r>
      <w:r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, or </w:t>
      </w:r>
      <w:r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colchicine</w:t>
      </w:r>
      <w:r w:rsidRPr="00A10A8E">
        <w:rPr>
          <w:rFonts w:asciiTheme="majorBidi" w:hAnsiTheme="majorBidi" w:cstheme="majorBidi"/>
          <w:color w:val="333333"/>
          <w:sz w:val="28"/>
          <w:szCs w:val="28"/>
        </w:rPr>
        <w:t>. Treatment should begin</w:t>
      </w:r>
      <w:r w:rsidR="00DA441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as soon as possible after the onset of an attack</w:t>
      </w:r>
      <w:r w:rsidRPr="00A10A8E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14:paraId="78723AAA" w14:textId="77777777" w:rsidR="00ED28AB" w:rsidRPr="00ED28AB" w:rsidRDefault="00ED28AB" w:rsidP="00DB75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14:paraId="51419195" w14:textId="77777777" w:rsidR="00A10A8E" w:rsidRPr="00DA4411" w:rsidRDefault="00DB7551" w:rsidP="00A508F8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>A-</w:t>
      </w:r>
      <w:r w:rsidR="00A10A8E" w:rsidRPr="00DA4411">
        <w:rPr>
          <w:rFonts w:asciiTheme="majorBidi" w:hAnsiTheme="majorBidi" w:cstheme="majorBidi"/>
          <w:b/>
          <w:bCs/>
          <w:color w:val="FF0000"/>
          <w:sz w:val="32"/>
          <w:szCs w:val="32"/>
        </w:rPr>
        <w:t>NSAIDS</w:t>
      </w:r>
    </w:p>
    <w:p w14:paraId="5B7ADB6B" w14:textId="77777777" w:rsidR="00A10A8E" w:rsidRPr="00A10A8E" w:rsidRDefault="00DB7551" w:rsidP="00DA441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NSAIDs have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excellent efficacy and minimal toxicity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with short-term use. Indomethacin, naproxen, and sulindac have FDA approval for gout,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but others are likely to be effective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14:paraId="13406CFE" w14:textId="77777777" w:rsidR="00A10A8E" w:rsidRPr="00ED28AB" w:rsidRDefault="00A10A8E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14:paraId="29A20CF0" w14:textId="77777777" w:rsidR="00A10A8E" w:rsidRPr="00A10A8E" w:rsidRDefault="00DB7551" w:rsidP="004858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Start therapy </w:t>
      </w:r>
      <w:r w:rsidR="00A10A8E" w:rsidRPr="00066E93">
        <w:rPr>
          <w:rFonts w:asciiTheme="majorBidi" w:hAnsiTheme="majorBidi" w:cstheme="majorBidi"/>
          <w:b/>
          <w:bCs/>
          <w:color w:val="333333"/>
          <w:sz w:val="28"/>
          <w:szCs w:val="28"/>
        </w:rPr>
        <w:t>within 24 hours of attack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onset and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continue until complete resolution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(usually 5</w:t>
      </w:r>
      <w:r w:rsidR="00A10A8E" w:rsidRPr="00A10A8E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8 days). Tapering may be considered after</w:t>
      </w:r>
      <w:r w:rsidR="00DA441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resolution.</w:t>
      </w:r>
    </w:p>
    <w:p w14:paraId="48D723A9" w14:textId="77777777" w:rsidR="00DA4411" w:rsidRPr="00ED28AB" w:rsidRDefault="00DA4411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14:paraId="007FE762" w14:textId="77777777" w:rsidR="00A10A8E" w:rsidRPr="00A10A8E" w:rsidRDefault="00BE17AD" w:rsidP="004858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DB7551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Selective cyclooxygenase-2 inhibitors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r w:rsidR="00066E93" w:rsidRPr="00A10A8E">
        <w:rPr>
          <w:rFonts w:asciiTheme="majorBidi" w:hAnsiTheme="majorBidi" w:cstheme="majorBidi"/>
          <w:color w:val="333333"/>
          <w:sz w:val="28"/>
          <w:szCs w:val="28"/>
        </w:rPr>
        <w:t>e.g.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, celecoxib)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may be an option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for patients unable to take nonselective NSAIDs, but</w:t>
      </w:r>
      <w:r w:rsidR="00485899">
        <w:rPr>
          <w:rFonts w:asciiTheme="majorBidi" w:hAnsiTheme="majorBidi" w:cstheme="majorBidi"/>
          <w:color w:val="333333"/>
          <w:sz w:val="28"/>
          <w:szCs w:val="28"/>
        </w:rPr>
        <w:t xml:space="preserve"> the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cardiovascular risk must be considered.</w:t>
      </w:r>
    </w:p>
    <w:p w14:paraId="45DC5E09" w14:textId="77777777" w:rsidR="00A10A8E" w:rsidRPr="00ED28AB" w:rsidRDefault="00A10A8E" w:rsidP="00A10A8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14:paraId="32106B65" w14:textId="77777777" w:rsidR="00A10A8E" w:rsidRPr="00DA4411" w:rsidRDefault="00DB7551" w:rsidP="00A508F8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>B-</w:t>
      </w:r>
      <w:r w:rsidR="00A10A8E" w:rsidRPr="00DA4411">
        <w:rPr>
          <w:rFonts w:asciiTheme="majorBidi" w:hAnsiTheme="majorBidi" w:cstheme="majorBidi"/>
          <w:b/>
          <w:bCs/>
          <w:color w:val="FF0000"/>
          <w:sz w:val="32"/>
          <w:szCs w:val="32"/>
        </w:rPr>
        <w:t>Corticosteroids</w:t>
      </w:r>
    </w:p>
    <w:p w14:paraId="3AF4C4C1" w14:textId="77777777" w:rsidR="00A10A8E" w:rsidRPr="00A10A8E" w:rsidRDefault="00DB7551" w:rsidP="00A130C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Corticosteroid efficacy is equivalent to NSAIDs;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they can be used systemically or by intra-articular (IA) injection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. If only one or two joints are</w:t>
      </w:r>
      <w:r w:rsidR="00DA441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involved, either IA or oral corticosteroids are recommended. </w:t>
      </w:r>
      <w:r w:rsidR="00A130C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Systemic therapy is necessary for polyarticular attacks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14:paraId="5B2CE964" w14:textId="77777777" w:rsidR="00A130CF" w:rsidRPr="00ED28AB" w:rsidRDefault="00A130CF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14:paraId="650293E4" w14:textId="77777777" w:rsidR="00DB7551" w:rsidRDefault="00DB7551" w:rsidP="00DB75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Tapering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is often used to reduce the hypothetical risk of a rebound attack upon</w:t>
      </w:r>
      <w:r w:rsidR="00A130C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steroid withdrawal.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14:paraId="2EF0879E" w14:textId="77777777" w:rsidR="00DB7551" w:rsidRPr="00ED28AB" w:rsidRDefault="00DB7551" w:rsidP="00DB75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14:paraId="5C8F808E" w14:textId="77777777" w:rsidR="00BE17AD" w:rsidRDefault="00DB7551" w:rsidP="00BE17A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IA corticosteroids should be used with an oral NSAID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colchicine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, or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corticosteroid therapy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.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Alternatively,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IM corticosteroid monotherapy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may be considered in patients with multiple</w:t>
      </w:r>
      <w:r w:rsidR="009359F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affected joints who cannot take oral therapy.</w:t>
      </w:r>
      <w:r w:rsidR="00485899" w:rsidRPr="0048589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</w:p>
    <w:p w14:paraId="08439E5B" w14:textId="77777777" w:rsidR="00BE17AD" w:rsidRPr="00BE17AD" w:rsidRDefault="00BE17AD" w:rsidP="00BE17A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16"/>
          <w:szCs w:val="16"/>
        </w:rPr>
      </w:pPr>
    </w:p>
    <w:p w14:paraId="251EC993" w14:textId="77777777" w:rsidR="00A10A8E" w:rsidRPr="00A10A8E" w:rsidRDefault="00BE17AD" w:rsidP="00BE17A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4-</w:t>
      </w:r>
      <w:r w:rsidR="00A10A8E" w:rsidRPr="00485899">
        <w:rPr>
          <w:rFonts w:asciiTheme="majorBidi" w:hAnsiTheme="majorBidi" w:cstheme="majorBidi"/>
          <w:b/>
          <w:bCs/>
          <w:color w:val="333333"/>
          <w:sz w:val="28"/>
          <w:szCs w:val="28"/>
        </w:rPr>
        <w:t>Avoid long-term use because of risk for</w:t>
      </w:r>
      <w:r w:rsidR="00A10A8E" w:rsidRPr="00485899">
        <w:rPr>
          <w:rFonts w:asciiTheme="majorBidi" w:hAnsiTheme="majorBidi" w:cstheme="majorBidi"/>
          <w:color w:val="333333"/>
          <w:sz w:val="28"/>
          <w:szCs w:val="28"/>
        </w:rPr>
        <w:t xml:space="preserve"> osteoporosis, hypothalamic</w:t>
      </w:r>
      <w:r w:rsidR="00A10A8E" w:rsidRPr="00485899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A10A8E" w:rsidRPr="00485899">
        <w:rPr>
          <w:rFonts w:asciiTheme="majorBidi" w:hAnsiTheme="majorBidi" w:cstheme="majorBidi"/>
          <w:color w:val="333333"/>
          <w:sz w:val="28"/>
          <w:szCs w:val="28"/>
        </w:rPr>
        <w:t>pituitary</w:t>
      </w:r>
      <w:r w:rsidR="00A10A8E" w:rsidRPr="00485899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A10A8E" w:rsidRPr="00485899">
        <w:rPr>
          <w:rFonts w:asciiTheme="majorBidi" w:hAnsiTheme="majorBidi" w:cstheme="majorBidi"/>
          <w:color w:val="333333"/>
          <w:sz w:val="28"/>
          <w:szCs w:val="28"/>
        </w:rPr>
        <w:t>adrenal axis</w:t>
      </w:r>
      <w:r w:rsidR="009359FF" w:rsidRPr="0048589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485899">
        <w:rPr>
          <w:rFonts w:asciiTheme="majorBidi" w:hAnsiTheme="majorBidi" w:cstheme="majorBidi"/>
          <w:color w:val="333333"/>
          <w:sz w:val="28"/>
          <w:szCs w:val="28"/>
        </w:rPr>
        <w:t>suppression, cataracts, and muscle deconditioning.</w:t>
      </w:r>
    </w:p>
    <w:p w14:paraId="2927CEF1" w14:textId="77777777" w:rsidR="00A10A8E" w:rsidRPr="00ED28AB" w:rsidRDefault="00A10A8E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14:paraId="773AB26A" w14:textId="77777777" w:rsidR="00BE17AD" w:rsidRDefault="00BE17AD" w:rsidP="00A508F8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14:paraId="21DB758F" w14:textId="77777777" w:rsidR="00A10A8E" w:rsidRPr="00DA4411" w:rsidRDefault="00DB7551" w:rsidP="00BE17AD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lastRenderedPageBreak/>
        <w:t>C-</w:t>
      </w:r>
      <w:r w:rsidR="00A10A8E" w:rsidRPr="00DA4411">
        <w:rPr>
          <w:rFonts w:asciiTheme="majorBidi" w:hAnsiTheme="majorBidi" w:cstheme="majorBidi"/>
          <w:b/>
          <w:bCs/>
          <w:color w:val="FF0000"/>
          <w:sz w:val="32"/>
          <w:szCs w:val="32"/>
        </w:rPr>
        <w:t>Colchicine</w:t>
      </w:r>
    </w:p>
    <w:p w14:paraId="7B39BBE6" w14:textId="77777777" w:rsidR="001B1C18" w:rsidRDefault="00DB7551" w:rsidP="001B1C1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Colchicine is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highly effective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in relieving acute gout attacks; </w:t>
      </w:r>
      <w:r w:rsidR="00A10A8E" w:rsidRPr="008E2A0A">
        <w:rPr>
          <w:rFonts w:asciiTheme="majorBidi" w:hAnsiTheme="majorBidi" w:cstheme="majorBidi"/>
          <w:b/>
          <w:bCs/>
          <w:color w:val="333333"/>
          <w:sz w:val="28"/>
          <w:szCs w:val="28"/>
        </w:rPr>
        <w:t>when it is started within the first 24 hours of onset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, about two-thirds of patients</w:t>
      </w:r>
      <w:r w:rsidR="001B1C1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respond within hours. </w:t>
      </w:r>
    </w:p>
    <w:p w14:paraId="70EA554C" w14:textId="77777777" w:rsidR="001B1C18" w:rsidRPr="00ED28AB" w:rsidRDefault="001B1C18" w:rsidP="001B1C1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14:paraId="68D7306E" w14:textId="77777777" w:rsidR="001B1C18" w:rsidRDefault="00BE17AD" w:rsidP="001B1C1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Colchicine causes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dose-dependent GI adverse effects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(nausea, vomiting, and diarrhea).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Non-GI effects include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neutropenia and axonal</w:t>
      </w:r>
      <w:r w:rsidR="001B1C1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neuromyopathy, which may be worsened in patients taking other myopathic drugs (</w:t>
      </w:r>
      <w:r w:rsidR="00DF25A3" w:rsidRPr="00A10A8E">
        <w:rPr>
          <w:rFonts w:asciiTheme="majorBidi" w:hAnsiTheme="majorBidi" w:cstheme="majorBidi"/>
          <w:color w:val="333333"/>
          <w:sz w:val="28"/>
          <w:szCs w:val="28"/>
        </w:rPr>
        <w:t>e.g.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, statins) or with impaired kidney function. </w:t>
      </w:r>
    </w:p>
    <w:p w14:paraId="2269D47D" w14:textId="77777777" w:rsidR="001B1C18" w:rsidRPr="00ED28AB" w:rsidRDefault="001B1C18" w:rsidP="001B1C1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14:paraId="510981CC" w14:textId="77777777" w:rsidR="00A10A8E" w:rsidRDefault="00BE17AD" w:rsidP="00DB75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DB7551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Use colchicine</w:t>
      </w:r>
      <w:r w:rsidR="001B1C1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with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caution in patients taking P-glycoprotein or strong CYP450 3A4 inhibitors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r w:rsidR="00DF25A3" w:rsidRPr="00A10A8E">
        <w:rPr>
          <w:rFonts w:asciiTheme="majorBidi" w:hAnsiTheme="majorBidi" w:cstheme="majorBidi"/>
          <w:color w:val="333333"/>
          <w:sz w:val="28"/>
          <w:szCs w:val="28"/>
        </w:rPr>
        <w:t>e.g.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clarithromycin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) due to increased plasma colchicine levels and</w:t>
      </w:r>
      <w:r w:rsidR="001B1C1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potential toxicity; colchicine dose reductions may be required.</w:t>
      </w:r>
      <w:r w:rsidR="001B1C18">
        <w:rPr>
          <w:rFonts w:asciiTheme="majorBidi" w:hAnsiTheme="majorBidi" w:cstheme="majorBidi"/>
          <w:color w:val="333333"/>
          <w:sz w:val="28"/>
          <w:szCs w:val="28"/>
        </w:rPr>
        <w:t xml:space="preserve">  </w:t>
      </w:r>
    </w:p>
    <w:p w14:paraId="74C54666" w14:textId="77777777" w:rsidR="00DB7551" w:rsidRPr="00ED28AB" w:rsidRDefault="00DB7551" w:rsidP="00DB75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14:paraId="4F2AA858" w14:textId="77777777" w:rsidR="00A10A8E" w:rsidRPr="00DA4411" w:rsidRDefault="00DA4411" w:rsidP="00A508F8">
      <w:pPr>
        <w:autoSpaceDE w:val="0"/>
        <w:autoSpaceDN w:val="0"/>
        <w:bidi w:val="0"/>
        <w:adjustRightInd w:val="0"/>
        <w:spacing w:after="0" w:line="240" w:lineRule="auto"/>
        <w:jc w:val="center"/>
        <w:outlineLvl w:val="1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DA4411">
        <w:rPr>
          <w:rFonts w:asciiTheme="majorBidi" w:hAnsiTheme="majorBidi" w:cstheme="majorBidi"/>
          <w:b/>
          <w:bCs/>
          <w:color w:val="0000FF"/>
          <w:sz w:val="32"/>
          <w:szCs w:val="32"/>
        </w:rPr>
        <w:t>Hyperuricemia</w:t>
      </w:r>
      <w:r>
        <w:rPr>
          <w:rFonts w:asciiTheme="majorBidi" w:hAnsiTheme="majorBidi" w:cstheme="majorBidi"/>
          <w:b/>
          <w:bCs/>
          <w:color w:val="0000FF"/>
          <w:sz w:val="32"/>
          <w:szCs w:val="32"/>
        </w:rPr>
        <w:t xml:space="preserve"> </w:t>
      </w:r>
      <w:r w:rsidRPr="00DA4411">
        <w:rPr>
          <w:rFonts w:asciiTheme="majorBidi" w:hAnsiTheme="majorBidi" w:cstheme="majorBidi"/>
          <w:b/>
          <w:bCs/>
          <w:color w:val="0000FF"/>
          <w:sz w:val="32"/>
          <w:szCs w:val="32"/>
        </w:rPr>
        <w:t>in gout</w:t>
      </w:r>
    </w:p>
    <w:p w14:paraId="32892A63" w14:textId="77777777" w:rsidR="00DF25A3" w:rsidRDefault="00A10A8E" w:rsidP="00BE17A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Recurrent gout attacks can be prevented by maintaining low uric acid levels, </w:t>
      </w:r>
      <w:r w:rsidR="00DF25A3" w:rsidRPr="00BE17AD">
        <w:rPr>
          <w:rFonts w:asciiTheme="majorBidi" w:hAnsiTheme="majorBidi" w:cstheme="majorBidi"/>
          <w:color w:val="333333"/>
          <w:sz w:val="28"/>
          <w:szCs w:val="28"/>
        </w:rPr>
        <w:t>but nonadherence with nonpharmacologic and pharmacologic therapies is common.</w:t>
      </w:r>
    </w:p>
    <w:p w14:paraId="532BD974" w14:textId="77777777" w:rsidR="00BE17AD" w:rsidRDefault="00BE17AD" w:rsidP="00A508F8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14:paraId="5442078A" w14:textId="77777777" w:rsidR="00A10A8E" w:rsidRPr="00BE5327" w:rsidRDefault="00A10A8E" w:rsidP="00BE17AD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BE5327">
        <w:rPr>
          <w:rFonts w:asciiTheme="majorBidi" w:hAnsiTheme="majorBidi" w:cstheme="majorBidi"/>
          <w:b/>
          <w:bCs/>
          <w:color w:val="FF0000"/>
          <w:sz w:val="32"/>
          <w:szCs w:val="32"/>
        </w:rPr>
        <w:t>Nonpharmacologic Therapy</w:t>
      </w:r>
    </w:p>
    <w:p w14:paraId="04280F28" w14:textId="77777777" w:rsidR="00A10A8E" w:rsidRPr="00A10A8E" w:rsidRDefault="00BE5327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Promote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weight loss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through caloric restriction and exercise in all patients to enhance renal urate excretion.</w:t>
      </w:r>
    </w:p>
    <w:p w14:paraId="0FDA12BA" w14:textId="77777777" w:rsidR="00BE5327" w:rsidRPr="00ED28AB" w:rsidRDefault="00BE5327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14:paraId="3C0D2EF4" w14:textId="77777777" w:rsidR="00DF25A3" w:rsidRDefault="00BE5327" w:rsidP="00BE532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Alcohol restriction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is important because </w:t>
      </w:r>
      <w:r w:rsidR="00DF25A3" w:rsidRPr="00BE17AD">
        <w:rPr>
          <w:rFonts w:asciiTheme="majorBidi" w:hAnsiTheme="majorBidi" w:cstheme="majorBidi"/>
          <w:color w:val="333333"/>
          <w:sz w:val="28"/>
          <w:szCs w:val="28"/>
        </w:rPr>
        <w:t>increased consumption has been associated with an increased risk of gout attacks.</w:t>
      </w:r>
    </w:p>
    <w:p w14:paraId="60CF281F" w14:textId="77777777" w:rsidR="00BE5327" w:rsidRPr="00ED28AB" w:rsidRDefault="00BE5327" w:rsidP="00BE532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14:paraId="0643132B" w14:textId="77777777" w:rsidR="00DF25A3" w:rsidRDefault="00BE5327" w:rsidP="00DF25A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Dietary recommendations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include limiting consumption of high-fructose corn syrup and purine-rich foods (organ meats and some seafood) </w:t>
      </w:r>
      <w:r w:rsidR="00DF25A3" w:rsidRPr="00BE17AD">
        <w:rPr>
          <w:rFonts w:asciiTheme="majorBidi" w:hAnsiTheme="majorBidi" w:cstheme="majorBidi"/>
          <w:color w:val="333333"/>
          <w:sz w:val="28"/>
          <w:szCs w:val="28"/>
        </w:rPr>
        <w:t>which have been linked to uric acid elevation.</w:t>
      </w:r>
    </w:p>
    <w:p w14:paraId="56430D4B" w14:textId="77777777" w:rsidR="00BE5327" w:rsidRPr="00ED28AB" w:rsidRDefault="00BE5327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14:paraId="6561EAAF" w14:textId="77777777" w:rsidR="00A10A8E" w:rsidRPr="00A10A8E" w:rsidRDefault="00DB7551" w:rsidP="004858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Evaluate the medication list for potentially unnecessary drugs that may elevate uric acid levels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48589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Low-dose aspirin for cardiovascular prevention should be continued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because aspirin has a negligible effect on elevating serum uric acid.</w:t>
      </w:r>
    </w:p>
    <w:p w14:paraId="78751FC0" w14:textId="77777777" w:rsidR="00A10A8E" w:rsidRPr="00ED28AB" w:rsidRDefault="00A10A8E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14:paraId="40500355" w14:textId="77777777" w:rsidR="00BE5327" w:rsidRPr="00A508F8" w:rsidRDefault="00A10A8E" w:rsidP="00A508F8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DA4411">
        <w:rPr>
          <w:rFonts w:asciiTheme="majorBidi" w:hAnsiTheme="majorBidi" w:cstheme="majorBidi"/>
          <w:b/>
          <w:bCs/>
          <w:color w:val="FF0000"/>
          <w:sz w:val="32"/>
          <w:szCs w:val="32"/>
        </w:rPr>
        <w:t>Pharmacologic Therapy</w:t>
      </w:r>
      <w:r w:rsidRPr="00A508F8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</w:p>
    <w:p w14:paraId="589CB403" w14:textId="77777777" w:rsidR="008A3B3F" w:rsidRDefault="00DB7551" w:rsidP="008A3B3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After the first attack of acute gout,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prophylactic pharmacotherapy is recommended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if patients have two or more attacks per year, even if serum</w:t>
      </w:r>
      <w:r w:rsidR="008A3B3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uric acid is normal or only minimally elevated. </w:t>
      </w:r>
    </w:p>
    <w:p w14:paraId="0EB2B2A8" w14:textId="77777777" w:rsidR="008A3B3F" w:rsidRPr="00ED28AB" w:rsidRDefault="008A3B3F" w:rsidP="008A3B3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14:paraId="787C8928" w14:textId="77777777" w:rsidR="00DF25A3" w:rsidRDefault="00DB7551" w:rsidP="00DF25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Other indications include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presence of to</w:t>
      </w:r>
      <w:r w:rsidR="00A10A8E" w:rsidRPr="00BE17AD">
        <w:rPr>
          <w:rFonts w:asciiTheme="majorBidi" w:hAnsiTheme="majorBidi" w:cstheme="majorBidi"/>
          <w:color w:val="333333"/>
          <w:sz w:val="28"/>
          <w:szCs w:val="28"/>
        </w:rPr>
        <w:t>phi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DF25A3" w:rsidRPr="00BE17AD">
        <w:rPr>
          <w:rFonts w:asciiTheme="majorBidi" w:hAnsiTheme="majorBidi" w:cstheme="majorBidi"/>
          <w:color w:val="333333"/>
          <w:sz w:val="28"/>
          <w:szCs w:val="28"/>
        </w:rPr>
        <w:t>and radiographic evidence of damage attributable to gout.</w:t>
      </w:r>
    </w:p>
    <w:p w14:paraId="5CA6B13A" w14:textId="77777777" w:rsidR="008A3B3F" w:rsidRPr="00ED28AB" w:rsidRDefault="008A3B3F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14:paraId="01E9D4EB" w14:textId="77777777" w:rsidR="00A10A8E" w:rsidRPr="00A10A8E" w:rsidRDefault="00DB7551" w:rsidP="008A3B3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Urate-lowering therapy can be started during an acute attack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if anti-inflammatory prophylaxis has been initiated.</w:t>
      </w:r>
    </w:p>
    <w:p w14:paraId="0299DC7E" w14:textId="77777777" w:rsidR="00450611" w:rsidRPr="00ED28AB" w:rsidRDefault="00450611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14:paraId="63AC8C30" w14:textId="77777777" w:rsidR="00450611" w:rsidRDefault="00DB7551" w:rsidP="00935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Xanthine oxidase inhibitors are recommended first-line therapy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, with uricosurics reserved</w:t>
      </w:r>
      <w:r w:rsidR="009359F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for patients with a contraindication or intolerance to xanthine oxidase inhibitors. </w:t>
      </w:r>
    </w:p>
    <w:p w14:paraId="6D8B0A09" w14:textId="77777777" w:rsidR="00450611" w:rsidRPr="00ED28AB" w:rsidRDefault="00450611" w:rsidP="0045061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14:paraId="0A0CF675" w14:textId="77777777" w:rsidR="00450611" w:rsidRDefault="00DB7551" w:rsidP="0045061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In refractory cases,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combination therapy with a xanthine oxidase</w:t>
      </w:r>
      <w:r w:rsidR="00450611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inhibitor plus a drug with uricosuric properties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(probenecid, losartan, or fenofibrate) is suggested. </w:t>
      </w:r>
    </w:p>
    <w:p w14:paraId="2E578B4C" w14:textId="77777777" w:rsidR="00450611" w:rsidRPr="00ED28AB" w:rsidRDefault="00450611" w:rsidP="0045061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14:paraId="6F879D33" w14:textId="77777777" w:rsidR="00A10A8E" w:rsidRPr="00A10A8E" w:rsidRDefault="00DB7551" w:rsidP="0045061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6-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Pegloticase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may be used in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severe cases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in</w:t>
      </w:r>
      <w:r w:rsidR="0045061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which the patient cannot tolerate or is not responding to other therapies.</w:t>
      </w:r>
    </w:p>
    <w:p w14:paraId="40A6AF61" w14:textId="77777777" w:rsidR="00450611" w:rsidRPr="00ED28AB" w:rsidRDefault="00450611" w:rsidP="0045061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14:paraId="55A2EDD6" w14:textId="77777777" w:rsidR="00A10A8E" w:rsidRPr="00A10A8E" w:rsidRDefault="00DB7551" w:rsidP="00BE17A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lastRenderedPageBreak/>
        <w:t>7-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The ACR guideline goal of urate-lowering therapy is to achieve and maintain serum uric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acid &lt;6 mg/</w:t>
      </w:r>
      <w:r w:rsidR="00BE17AD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Dl</w:t>
      </w:r>
      <w:r w:rsidR="00BE17AD">
        <w:rPr>
          <w:rFonts w:asciiTheme="majorBidi" w:hAnsiTheme="majorBidi" w:cstheme="majorBidi"/>
          <w:b/>
          <w:bCs/>
          <w:color w:val="333333"/>
          <w:sz w:val="28"/>
          <w:szCs w:val="28"/>
        </w:rPr>
        <w:t>.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Urate lowering should be prescribed for long-term use.</w:t>
      </w:r>
    </w:p>
    <w:p w14:paraId="668AFD29" w14:textId="77777777" w:rsidR="00A10A8E" w:rsidRPr="00ED28AB" w:rsidRDefault="00A10A8E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14:paraId="7D1F069A" w14:textId="77777777" w:rsidR="00A10A8E" w:rsidRPr="00DA4411" w:rsidRDefault="00E45D3F" w:rsidP="00A508F8">
      <w:pPr>
        <w:autoSpaceDE w:val="0"/>
        <w:autoSpaceDN w:val="0"/>
        <w:bidi w:val="0"/>
        <w:adjustRightInd w:val="0"/>
        <w:spacing w:after="0" w:line="240" w:lineRule="auto"/>
        <w:jc w:val="both"/>
        <w:outlineLvl w:val="3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FF"/>
          <w:sz w:val="32"/>
          <w:szCs w:val="32"/>
        </w:rPr>
        <w:t>A-</w:t>
      </w:r>
      <w:r w:rsidR="00A10A8E" w:rsidRPr="00DA4411">
        <w:rPr>
          <w:rFonts w:asciiTheme="majorBidi" w:hAnsiTheme="majorBidi" w:cstheme="majorBidi"/>
          <w:b/>
          <w:bCs/>
          <w:color w:val="0000FF"/>
          <w:sz w:val="32"/>
          <w:szCs w:val="32"/>
        </w:rPr>
        <w:t>Xanthine Oxidase Inhibitors</w:t>
      </w:r>
    </w:p>
    <w:p w14:paraId="2A4D33B0" w14:textId="77777777" w:rsidR="008939FF" w:rsidRDefault="00E45D3F" w:rsidP="00893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Xanthine oxidase inhibitors reduce uric acid by impairing conversion of hypoxanthine to xanthine and xanthine to uric acid. </w:t>
      </w:r>
    </w:p>
    <w:p w14:paraId="6EC4B695" w14:textId="77777777" w:rsidR="008939FF" w:rsidRPr="00ED28AB" w:rsidRDefault="008939FF" w:rsidP="00893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14:paraId="0B9D758F" w14:textId="77777777" w:rsidR="00A10A8E" w:rsidRPr="00A10A8E" w:rsidRDefault="00E45D3F" w:rsidP="00893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Because they are</w:t>
      </w:r>
      <w:r w:rsidR="008939F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effective in both overproducers and underexcretors of uric acid,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they are the most widely prescribed agents for long-term prevention of recurrent</w:t>
      </w:r>
      <w:r w:rsidR="008939FF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gout attacks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14:paraId="32B39324" w14:textId="77777777" w:rsidR="008939FF" w:rsidRPr="00ED28AB" w:rsidRDefault="008939FF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14:paraId="2E209BA7" w14:textId="77777777" w:rsidR="00A10A8E" w:rsidRPr="00A10A8E" w:rsidRDefault="00485899" w:rsidP="00BE17A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E45D3F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Mild adverse effects of allopurinol include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skin rash, leukopenia, GI problems, headache, and urticaria. A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more severe adverse reaction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known as</w:t>
      </w:r>
      <w:r w:rsidR="008939FF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allopurinol hypersensitivity syndrome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, which includes severe rash (toxic epidermal necrolysis, erythema multiforme, or exfoliative dermatitis),</w:t>
      </w:r>
      <w:r w:rsidR="008939F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occurs rarely but is associated with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a 20%</w:t>
      </w:r>
      <w:r w:rsidR="00A10A8E" w:rsidRPr="009359FF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25% mortality rate.</w:t>
      </w:r>
    </w:p>
    <w:p w14:paraId="34002BC3" w14:textId="77777777" w:rsidR="008939FF" w:rsidRPr="00ED28AB" w:rsidRDefault="008939FF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14:paraId="059BA65E" w14:textId="77777777" w:rsidR="0053555A" w:rsidRDefault="001F6396" w:rsidP="00BE17A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</w:t>
      </w:r>
      <w:r w:rsidR="00E45D3F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Febuxostat</w:t>
      </w:r>
      <w:r w:rsidR="00485899">
        <w:rPr>
          <w:rFonts w:asciiTheme="majorBidi" w:hAnsiTheme="majorBidi" w:cstheme="majorBidi"/>
          <w:color w:val="333333"/>
          <w:sz w:val="28"/>
          <w:szCs w:val="28"/>
        </w:rPr>
        <w:t>:</w:t>
      </w:r>
      <w:r w:rsidR="0053555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53555A" w:rsidRPr="0053555A">
        <w:rPr>
          <w:rFonts w:asciiTheme="majorBidi" w:hAnsiTheme="majorBidi" w:cstheme="majorBidi"/>
          <w:color w:val="333333"/>
          <w:sz w:val="28"/>
          <w:szCs w:val="28"/>
        </w:rPr>
        <w:t>also lowers serum uric acid in a dose</w:t>
      </w:r>
      <w:r w:rsidR="0053555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53555A" w:rsidRPr="0053555A">
        <w:rPr>
          <w:rFonts w:asciiTheme="majorBidi" w:hAnsiTheme="majorBidi" w:cstheme="majorBidi"/>
          <w:color w:val="333333"/>
          <w:sz w:val="28"/>
          <w:szCs w:val="28"/>
        </w:rPr>
        <w:t>dependent</w:t>
      </w:r>
      <w:r w:rsidR="0053555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53555A" w:rsidRPr="0053555A">
        <w:rPr>
          <w:rFonts w:asciiTheme="majorBidi" w:hAnsiTheme="majorBidi" w:cstheme="majorBidi"/>
          <w:color w:val="333333"/>
          <w:sz w:val="28"/>
          <w:szCs w:val="28"/>
        </w:rPr>
        <w:t>manner.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53555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53555A" w:rsidRPr="0053555A">
        <w:rPr>
          <w:rFonts w:asciiTheme="majorBidi" w:hAnsiTheme="majorBidi" w:cstheme="majorBidi"/>
          <w:color w:val="333333"/>
          <w:sz w:val="28"/>
          <w:szCs w:val="28"/>
        </w:rPr>
        <w:t>Clinical</w:t>
      </w:r>
      <w:r w:rsidR="0053555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53555A" w:rsidRPr="0053555A">
        <w:rPr>
          <w:rFonts w:asciiTheme="majorBidi" w:hAnsiTheme="majorBidi" w:cstheme="majorBidi"/>
          <w:color w:val="333333"/>
          <w:sz w:val="28"/>
          <w:szCs w:val="28"/>
        </w:rPr>
        <w:t xml:space="preserve">trial evidence demonstrated an </w:t>
      </w:r>
      <w:r w:rsidR="0053555A" w:rsidRPr="00BE17AD">
        <w:rPr>
          <w:rFonts w:asciiTheme="majorBidi" w:hAnsiTheme="majorBidi" w:cstheme="majorBidi"/>
          <w:b/>
          <w:bCs/>
          <w:color w:val="333333"/>
          <w:sz w:val="28"/>
          <w:szCs w:val="28"/>
        </w:rPr>
        <w:t>increase in all cause and cardiovascular mortality compared to allopurinol</w:t>
      </w:r>
      <w:r w:rsidR="0053555A" w:rsidRPr="0053555A">
        <w:rPr>
          <w:rFonts w:asciiTheme="majorBidi" w:hAnsiTheme="majorBidi" w:cstheme="majorBidi"/>
          <w:color w:val="333333"/>
          <w:sz w:val="28"/>
          <w:szCs w:val="28"/>
        </w:rPr>
        <w:t xml:space="preserve">, resulting in a warning that febuxostat should be reserved for patients unable to take allopurinol. </w:t>
      </w:r>
    </w:p>
    <w:p w14:paraId="3F4A2569" w14:textId="77777777" w:rsidR="0053555A" w:rsidRDefault="0053555A" w:rsidP="0053555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14:paraId="1A8A0F01" w14:textId="77777777" w:rsidR="00A10A8E" w:rsidRPr="00A508F8" w:rsidRDefault="00E45D3F" w:rsidP="00A508F8">
      <w:pPr>
        <w:autoSpaceDE w:val="0"/>
        <w:autoSpaceDN w:val="0"/>
        <w:bidi w:val="0"/>
        <w:adjustRightInd w:val="0"/>
        <w:spacing w:after="0" w:line="240" w:lineRule="auto"/>
        <w:jc w:val="both"/>
        <w:outlineLvl w:val="3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FF"/>
          <w:sz w:val="32"/>
          <w:szCs w:val="32"/>
        </w:rPr>
        <w:t>B-</w:t>
      </w:r>
      <w:r w:rsidR="00A10A8E" w:rsidRPr="00DA4411">
        <w:rPr>
          <w:rFonts w:asciiTheme="majorBidi" w:hAnsiTheme="majorBidi" w:cstheme="majorBidi"/>
          <w:b/>
          <w:bCs/>
          <w:color w:val="0000FF"/>
          <w:sz w:val="32"/>
          <w:szCs w:val="32"/>
        </w:rPr>
        <w:t>Uricosurics</w:t>
      </w:r>
    </w:p>
    <w:p w14:paraId="3D6E5562" w14:textId="77777777" w:rsidR="008939FF" w:rsidRDefault="00E45D3F" w:rsidP="00893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Uricosuric drugs increase renal clearance of uric acid by inhibiting renal tubular reabsorption of uric acid. </w:t>
      </w:r>
    </w:p>
    <w:p w14:paraId="4CCE5709" w14:textId="77777777" w:rsidR="008939FF" w:rsidRPr="00ED28AB" w:rsidRDefault="008939FF" w:rsidP="00893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14:paraId="22EDC438" w14:textId="77777777" w:rsidR="008939FF" w:rsidRDefault="00E45D3F" w:rsidP="00BE17A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Patients</w:t>
      </w:r>
      <w:r w:rsidR="008939F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with a </w:t>
      </w:r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>history of urolithiasis should not receive uricosurics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>Maintaining adequate urine flow and urine alkalinization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during the first several days of therapy may also decrease likelihood of uric</w:t>
      </w:r>
      <w:r w:rsidR="008939F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acid stone formation. </w:t>
      </w:r>
    </w:p>
    <w:p w14:paraId="168D6AEB" w14:textId="77777777" w:rsidR="008939FF" w:rsidRPr="00ED28AB" w:rsidRDefault="008939FF" w:rsidP="00893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14:paraId="4A4B734A" w14:textId="77777777" w:rsidR="00A10A8E" w:rsidRPr="00A508F8" w:rsidRDefault="00E45D3F" w:rsidP="00A508F8">
      <w:pPr>
        <w:autoSpaceDE w:val="0"/>
        <w:autoSpaceDN w:val="0"/>
        <w:bidi w:val="0"/>
        <w:adjustRightInd w:val="0"/>
        <w:spacing w:after="0" w:line="240" w:lineRule="auto"/>
        <w:jc w:val="both"/>
        <w:outlineLvl w:val="3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FF"/>
          <w:sz w:val="32"/>
          <w:szCs w:val="32"/>
        </w:rPr>
        <w:t>C-</w:t>
      </w:r>
      <w:r w:rsidR="00A10A8E" w:rsidRPr="00DA4411">
        <w:rPr>
          <w:rFonts w:asciiTheme="majorBidi" w:hAnsiTheme="majorBidi" w:cstheme="majorBidi"/>
          <w:b/>
          <w:bCs/>
          <w:color w:val="0000FF"/>
          <w:sz w:val="32"/>
          <w:szCs w:val="32"/>
        </w:rPr>
        <w:t>Pegloticase</w:t>
      </w:r>
    </w:p>
    <w:p w14:paraId="4B92C762" w14:textId="77777777" w:rsidR="008939FF" w:rsidRDefault="00E45D3F" w:rsidP="00893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Pegloticase is a pegylated recombinant uricase that reduces serum uric acid by converting uric acid to allantoin, which is water</w:t>
      </w:r>
      <w:r w:rsidR="008939F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soluble. </w:t>
      </w:r>
    </w:p>
    <w:p w14:paraId="58F7CAD9" w14:textId="77777777" w:rsidR="008939FF" w:rsidRPr="00ED28AB" w:rsidRDefault="008939FF" w:rsidP="00893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14:paraId="352DD547" w14:textId="77777777" w:rsidR="00A10A8E" w:rsidRPr="00510DD8" w:rsidRDefault="00E45D3F" w:rsidP="00893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Pegloticase is indicated for antihyperuricemic therapy in </w:t>
      </w:r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>adults refractory to conventional therapy.</w:t>
      </w:r>
    </w:p>
    <w:p w14:paraId="3A5BD498" w14:textId="77777777" w:rsidR="00A012B1" w:rsidRPr="00ED28AB" w:rsidRDefault="00A012B1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14:paraId="6FF78FDA" w14:textId="77777777" w:rsidR="00A012B1" w:rsidRDefault="00E45D3F" w:rsidP="00A012B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Because of potential </w:t>
      </w:r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>infusion-related allergic reactions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, patients must be</w:t>
      </w:r>
      <w:r w:rsidR="00A012B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pretreated with antihistamines and corticosteroids. </w:t>
      </w:r>
    </w:p>
    <w:p w14:paraId="075686B9" w14:textId="77777777" w:rsidR="00A012B1" w:rsidRPr="00ED28AB" w:rsidRDefault="00A012B1" w:rsidP="00A012B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14:paraId="1D7B29AC" w14:textId="77777777" w:rsidR="0053555A" w:rsidRDefault="00E45D3F" w:rsidP="0053555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Pegloticase is substantially </w:t>
      </w:r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>more expensive than first-line urate-lowering therapies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A012B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The </w:t>
      </w:r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>ideal duration of pegloticase therapy is unknown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r w:rsidR="0053555A" w:rsidRPr="00BE17AD">
        <w:rPr>
          <w:rFonts w:asciiTheme="majorBidi" w:hAnsiTheme="majorBidi" w:cstheme="majorBidi"/>
          <w:color w:val="333333"/>
          <w:sz w:val="28"/>
          <w:szCs w:val="28"/>
        </w:rPr>
        <w:t>Patients may develop pegloticase antibodies that result in loss of efficacy after several months.</w:t>
      </w:r>
    </w:p>
    <w:p w14:paraId="18FA6362" w14:textId="77777777" w:rsidR="0053555A" w:rsidRPr="00BE17AD" w:rsidRDefault="0053555A" w:rsidP="0053555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14:paraId="58C36D68" w14:textId="77777777" w:rsidR="00A10A8E" w:rsidRPr="00A10A8E" w:rsidRDefault="00E45D3F" w:rsidP="00A012B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>Because of its limitations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, reserve pegloticase for patients with refractory gout who are unable to take or have failed all other urate-lowering</w:t>
      </w:r>
      <w:r w:rsidR="00A012B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therapies.</w:t>
      </w:r>
    </w:p>
    <w:p w14:paraId="5C492192" w14:textId="77777777" w:rsidR="00A012B1" w:rsidRPr="00ED28AB" w:rsidRDefault="00A012B1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14:paraId="7C99C25D" w14:textId="77777777" w:rsidR="00A10A8E" w:rsidRPr="00BE17AD" w:rsidRDefault="00E45D3F" w:rsidP="00A508F8">
      <w:pPr>
        <w:autoSpaceDE w:val="0"/>
        <w:autoSpaceDN w:val="0"/>
        <w:bidi w:val="0"/>
        <w:adjustRightInd w:val="0"/>
        <w:spacing w:after="0" w:line="240" w:lineRule="auto"/>
        <w:jc w:val="both"/>
        <w:outlineLvl w:val="3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BE17AD">
        <w:rPr>
          <w:rFonts w:asciiTheme="majorBidi" w:hAnsiTheme="majorBidi" w:cstheme="majorBidi"/>
          <w:b/>
          <w:bCs/>
          <w:color w:val="0000FF"/>
          <w:sz w:val="32"/>
          <w:szCs w:val="32"/>
        </w:rPr>
        <w:t>D-</w:t>
      </w:r>
      <w:r w:rsidR="00A10A8E" w:rsidRPr="00BE17AD">
        <w:rPr>
          <w:rFonts w:asciiTheme="majorBidi" w:hAnsiTheme="majorBidi" w:cstheme="majorBidi"/>
          <w:b/>
          <w:bCs/>
          <w:color w:val="0000FF"/>
          <w:sz w:val="32"/>
          <w:szCs w:val="32"/>
        </w:rPr>
        <w:t>Miscellaneous Urate-Lowering Agents</w:t>
      </w:r>
    </w:p>
    <w:p w14:paraId="31C2724E" w14:textId="77777777" w:rsidR="00A10A8E" w:rsidRPr="008E2A0A" w:rsidRDefault="00E45D3F" w:rsidP="008E2A0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BE17AD"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A10A8E" w:rsidRPr="00BE17AD">
        <w:rPr>
          <w:rFonts w:asciiTheme="majorBidi" w:hAnsiTheme="majorBidi" w:cstheme="majorBidi"/>
          <w:b/>
          <w:bCs/>
          <w:color w:val="333333"/>
          <w:sz w:val="28"/>
          <w:szCs w:val="28"/>
        </w:rPr>
        <w:t>Fenofibrate</w:t>
      </w:r>
      <w:r w:rsidR="00A10A8E" w:rsidRPr="00BE17AD">
        <w:rPr>
          <w:rFonts w:asciiTheme="majorBidi" w:hAnsiTheme="majorBidi" w:cstheme="majorBidi"/>
          <w:color w:val="333333"/>
          <w:sz w:val="28"/>
          <w:szCs w:val="28"/>
        </w:rPr>
        <w:t xml:space="preserve"> is thought to increase clearance of hypoxanthine and xanthine, leading to a susained reduction in serum urate concentrations of</w:t>
      </w:r>
      <w:r w:rsidR="00A012B1" w:rsidRPr="00BE17AD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BE17AD">
        <w:rPr>
          <w:rFonts w:asciiTheme="majorBidi" w:hAnsiTheme="majorBidi" w:cstheme="majorBidi"/>
          <w:color w:val="333333"/>
          <w:sz w:val="28"/>
          <w:szCs w:val="28"/>
        </w:rPr>
        <w:t>20%</w:t>
      </w:r>
      <w:r w:rsidR="00A10A8E" w:rsidRPr="00BE17AD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A10A8E" w:rsidRPr="00BE17AD">
        <w:rPr>
          <w:rFonts w:asciiTheme="majorBidi" w:hAnsiTheme="majorBidi" w:cstheme="majorBidi"/>
          <w:color w:val="333333"/>
          <w:sz w:val="28"/>
          <w:szCs w:val="28"/>
        </w:rPr>
        <w:t>30%.</w:t>
      </w:r>
      <w:r w:rsidR="00657FF6" w:rsidRPr="00BE17AD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7FF6" w:rsidRPr="008E2A0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However, ACR guidelines </w:t>
      </w:r>
      <w:r w:rsidR="00657FF6" w:rsidRPr="008E2A0A">
        <w:rPr>
          <w:rFonts w:asciiTheme="majorBidi" w:hAnsiTheme="majorBidi" w:cstheme="majorBidi"/>
          <w:b/>
          <w:bCs/>
          <w:color w:val="333333"/>
          <w:sz w:val="28"/>
          <w:szCs w:val="28"/>
        </w:rPr>
        <w:lastRenderedPageBreak/>
        <w:t>recommend against changing cholesterol lowering agents to fenofibrate because it is not a preferred therapy in current lipid guidelines.</w:t>
      </w:r>
    </w:p>
    <w:p w14:paraId="0BA7F261" w14:textId="77777777" w:rsidR="00E45D3F" w:rsidRPr="00BE17AD" w:rsidRDefault="00E45D3F" w:rsidP="00A012B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14:paraId="450A3720" w14:textId="77777777" w:rsidR="00657FF6" w:rsidRPr="00657FF6" w:rsidRDefault="00E45D3F" w:rsidP="008E2A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BE17AD"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A10A8E" w:rsidRPr="00BE17AD">
        <w:rPr>
          <w:rFonts w:asciiTheme="majorBidi" w:hAnsiTheme="majorBidi" w:cstheme="majorBidi"/>
          <w:b/>
          <w:bCs/>
          <w:color w:val="333333"/>
          <w:sz w:val="28"/>
          <w:szCs w:val="28"/>
        </w:rPr>
        <w:t>Losartan</w:t>
      </w:r>
      <w:r w:rsidR="00A10A8E" w:rsidRPr="00BE17AD">
        <w:rPr>
          <w:rFonts w:asciiTheme="majorBidi" w:hAnsiTheme="majorBidi" w:cstheme="majorBidi"/>
          <w:color w:val="333333"/>
          <w:sz w:val="28"/>
          <w:szCs w:val="28"/>
        </w:rPr>
        <w:t xml:space="preserve"> inhibits renal tubular reabsorption of uric acid </w:t>
      </w:r>
      <w:r w:rsidR="00A10A8E" w:rsidRPr="008E2A0A">
        <w:rPr>
          <w:rFonts w:asciiTheme="majorBidi" w:hAnsiTheme="majorBidi" w:cstheme="majorBidi"/>
          <w:b/>
          <w:bCs/>
          <w:color w:val="333333"/>
          <w:sz w:val="28"/>
          <w:szCs w:val="28"/>
        </w:rPr>
        <w:t>and increases urinary excretion</w:t>
      </w:r>
      <w:r w:rsidR="00A10A8E" w:rsidRPr="00BE17AD">
        <w:rPr>
          <w:rFonts w:asciiTheme="majorBidi" w:hAnsiTheme="majorBidi" w:cstheme="majorBidi"/>
          <w:color w:val="333333"/>
          <w:sz w:val="28"/>
          <w:szCs w:val="28"/>
        </w:rPr>
        <w:t>, properties that are not shared with other angiotensin II</w:t>
      </w:r>
      <w:r w:rsidR="00A012B1" w:rsidRPr="00BE17AD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BE17AD">
        <w:rPr>
          <w:rFonts w:asciiTheme="majorBidi" w:hAnsiTheme="majorBidi" w:cstheme="majorBidi"/>
          <w:color w:val="333333"/>
          <w:sz w:val="28"/>
          <w:szCs w:val="28"/>
        </w:rPr>
        <w:t xml:space="preserve">receptor blockers. It also </w:t>
      </w:r>
      <w:r w:rsidR="00A10A8E" w:rsidRPr="008E2A0A">
        <w:rPr>
          <w:rFonts w:asciiTheme="majorBidi" w:hAnsiTheme="majorBidi" w:cstheme="majorBidi"/>
          <w:b/>
          <w:bCs/>
          <w:color w:val="333333"/>
          <w:sz w:val="28"/>
          <w:szCs w:val="28"/>
        </w:rPr>
        <w:t>alkalinizes the urine</w:t>
      </w:r>
      <w:r w:rsidR="00A10A8E" w:rsidRPr="00BE17AD">
        <w:rPr>
          <w:rFonts w:asciiTheme="majorBidi" w:hAnsiTheme="majorBidi" w:cstheme="majorBidi"/>
          <w:color w:val="333333"/>
          <w:sz w:val="28"/>
          <w:szCs w:val="28"/>
        </w:rPr>
        <w:t>, which helps reduce the risk for stone formation.</w:t>
      </w:r>
      <w:r w:rsidR="00657FF6" w:rsidRPr="00BE17AD">
        <w:rPr>
          <w:rFonts w:asciiTheme="majorBidi" w:hAnsiTheme="majorBidi" w:cstheme="majorBidi"/>
          <w:color w:val="333333"/>
          <w:sz w:val="28"/>
          <w:szCs w:val="28"/>
        </w:rPr>
        <w:t xml:space="preserve"> Guidelines recommend </w:t>
      </w:r>
      <w:r w:rsidR="00657FF6" w:rsidRPr="008E2A0A">
        <w:rPr>
          <w:rFonts w:asciiTheme="majorBidi" w:hAnsiTheme="majorBidi" w:cstheme="majorBidi"/>
          <w:b/>
          <w:bCs/>
          <w:color w:val="333333"/>
          <w:sz w:val="28"/>
          <w:szCs w:val="28"/>
        </w:rPr>
        <w:t>choosing losartan preferentially as antihypertensive therapy in patients with gout when feasible</w:t>
      </w:r>
      <w:r w:rsidR="00657FF6" w:rsidRPr="00BE17AD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14:paraId="33F18FD5" w14:textId="77777777" w:rsidR="00ED28AB" w:rsidRPr="00ED28AB" w:rsidRDefault="00ED28AB" w:rsidP="00ED47D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14:paraId="5527A39D" w14:textId="77777777" w:rsidR="00A10A8E" w:rsidRPr="00ED47D4" w:rsidRDefault="00A10A8E" w:rsidP="00A508F8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ED47D4">
        <w:rPr>
          <w:rFonts w:asciiTheme="majorBidi" w:hAnsiTheme="majorBidi" w:cstheme="majorBidi"/>
          <w:b/>
          <w:bCs/>
          <w:color w:val="FF0000"/>
          <w:sz w:val="28"/>
          <w:szCs w:val="28"/>
        </w:rPr>
        <w:t>Anti-Inflammatory Prophylaxis During Initiation of Urate-Lowering Therapy</w:t>
      </w:r>
    </w:p>
    <w:p w14:paraId="6CBC9194" w14:textId="77777777" w:rsidR="00ED47D4" w:rsidRDefault="00E45D3F" w:rsidP="00ED47D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>Initiation of urate-lowering therapy can precipitate an acute gout attack due to remodeling of urate crystal deposits in joints after rapid lowering</w:t>
      </w:r>
      <w:r w:rsidR="00ED47D4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>of urate concentrations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14:paraId="1929C8EA" w14:textId="77777777" w:rsidR="00ED47D4" w:rsidRPr="00ED28AB" w:rsidRDefault="00ED47D4" w:rsidP="00ED47D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14:paraId="730D6D15" w14:textId="77777777" w:rsidR="00657FF6" w:rsidRPr="00BE17AD" w:rsidRDefault="00E45D3F" w:rsidP="00657FF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BE17AD"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657FF6" w:rsidRPr="00BE17AD">
        <w:rPr>
          <w:rFonts w:asciiTheme="majorBidi" w:hAnsiTheme="majorBidi" w:cstheme="majorBidi"/>
          <w:b/>
          <w:bCs/>
          <w:color w:val="333333"/>
          <w:sz w:val="28"/>
          <w:szCs w:val="28"/>
        </w:rPr>
        <w:t>Prophylactic anti-inflammatory therapy is recommended to prevent such gout attacks.</w:t>
      </w:r>
    </w:p>
    <w:p w14:paraId="651EA1AF" w14:textId="77777777" w:rsidR="00657FF6" w:rsidRPr="00BE17AD" w:rsidRDefault="00657FF6" w:rsidP="00657FF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14:paraId="632D9582" w14:textId="77777777" w:rsidR="00657FF6" w:rsidRDefault="00657FF6" w:rsidP="008E2A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BE17AD">
        <w:rPr>
          <w:rFonts w:asciiTheme="majorBidi" w:hAnsiTheme="majorBidi" w:cstheme="majorBidi"/>
          <w:color w:val="333333"/>
          <w:sz w:val="28"/>
          <w:szCs w:val="28"/>
        </w:rPr>
        <w:t xml:space="preserve">3-The ACR guidelines strongly recommend </w:t>
      </w:r>
      <w:r w:rsidRPr="008E2A0A">
        <w:rPr>
          <w:rFonts w:asciiTheme="majorBidi" w:hAnsiTheme="majorBidi" w:cstheme="majorBidi"/>
          <w:b/>
          <w:bCs/>
          <w:color w:val="333333"/>
          <w:sz w:val="28"/>
          <w:szCs w:val="28"/>
        </w:rPr>
        <w:t>low dose oral colchicine</w:t>
      </w:r>
      <w:r w:rsidRPr="00BE17AD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Pr="008E2A0A">
        <w:rPr>
          <w:rFonts w:asciiTheme="majorBidi" w:hAnsiTheme="majorBidi" w:cstheme="majorBidi"/>
          <w:b/>
          <w:bCs/>
          <w:color w:val="333333"/>
          <w:sz w:val="28"/>
          <w:szCs w:val="28"/>
        </w:rPr>
        <w:t>low dose NSAIDs, or</w:t>
      </w:r>
      <w:r w:rsidR="008E2A0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Pr="008E2A0A">
        <w:rPr>
          <w:rFonts w:asciiTheme="majorBidi" w:hAnsiTheme="majorBidi" w:cstheme="majorBidi"/>
          <w:b/>
          <w:bCs/>
          <w:color w:val="333333"/>
          <w:sz w:val="28"/>
          <w:szCs w:val="28"/>
        </w:rPr>
        <w:t>prednisone 10 mg daily</w:t>
      </w:r>
      <w:r w:rsidRPr="00BE17AD">
        <w:rPr>
          <w:rFonts w:asciiTheme="majorBidi" w:hAnsiTheme="majorBidi" w:cstheme="majorBidi"/>
          <w:color w:val="333333"/>
          <w:sz w:val="28"/>
          <w:szCs w:val="28"/>
        </w:rPr>
        <w:t xml:space="preserve"> during the </w:t>
      </w:r>
      <w:r w:rsidRPr="008E2A0A">
        <w:rPr>
          <w:rFonts w:asciiTheme="majorBidi" w:hAnsiTheme="majorBidi" w:cstheme="majorBidi"/>
          <w:b/>
          <w:bCs/>
          <w:color w:val="333333"/>
          <w:sz w:val="28"/>
          <w:szCs w:val="28"/>
        </w:rPr>
        <w:t>first 3 to 6 months of urate lowering therapy initiation</w:t>
      </w:r>
      <w:r w:rsidRPr="00BE17AD">
        <w:rPr>
          <w:rFonts w:asciiTheme="majorBidi" w:hAnsiTheme="majorBidi" w:cstheme="majorBidi"/>
          <w:color w:val="333333"/>
          <w:sz w:val="28"/>
          <w:szCs w:val="28"/>
        </w:rPr>
        <w:t>, and longer as needed if gout flares persist.</w:t>
      </w:r>
    </w:p>
    <w:p w14:paraId="66CD7B62" w14:textId="77777777" w:rsidR="00A10A8E" w:rsidRPr="00ED28AB" w:rsidRDefault="00A10A8E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14:paraId="740352AA" w14:textId="77777777" w:rsidR="0045125D" w:rsidRPr="00022299" w:rsidRDefault="00022299" w:rsidP="00CA4528">
      <w:pPr>
        <w:autoSpaceDE w:val="0"/>
        <w:autoSpaceDN w:val="0"/>
        <w:bidi w:val="0"/>
        <w:adjustRightInd w:val="0"/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FF"/>
          <w:sz w:val="32"/>
          <w:szCs w:val="32"/>
        </w:rPr>
        <w:t>E</w:t>
      </w:r>
      <w:r w:rsidRPr="00022299">
        <w:rPr>
          <w:rFonts w:asciiTheme="majorBidi" w:hAnsiTheme="majorBidi" w:cstheme="majorBidi"/>
          <w:b/>
          <w:bCs/>
          <w:color w:val="0000FF"/>
          <w:sz w:val="32"/>
          <w:szCs w:val="32"/>
        </w:rPr>
        <w:t>valuation of therapeutic outcomes</w:t>
      </w:r>
    </w:p>
    <w:p w14:paraId="3E872B75" w14:textId="77777777" w:rsidR="00A10A8E" w:rsidRPr="00A10A8E" w:rsidRDefault="00ED47D4" w:rsidP="00BE17A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>Check the serum uric acid level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in patients suspected of having an acute gout attack,</w:t>
      </w:r>
      <w:r w:rsidR="00BE17AD">
        <w:rPr>
          <w:rFonts w:asciiTheme="majorBidi" w:hAnsiTheme="majorBidi" w:cstheme="majorBidi"/>
          <w:color w:val="333333"/>
          <w:sz w:val="28"/>
          <w:szCs w:val="28"/>
        </w:rPr>
        <w:t xml:space="preserve"> h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owever, acute gout can occur with normal serum uric acid concentrations.</w:t>
      </w:r>
    </w:p>
    <w:p w14:paraId="629B1054" w14:textId="77777777" w:rsidR="00ED47D4" w:rsidRPr="00ED28AB" w:rsidRDefault="00ED47D4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14:paraId="71CE44C6" w14:textId="77777777" w:rsidR="00ED47D4" w:rsidRDefault="00E45D3F" w:rsidP="00BE17A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>Monitor patients with acute gout for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>symptomatic relief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of joint pain. </w:t>
      </w:r>
    </w:p>
    <w:p w14:paraId="11314D1A" w14:textId="77777777" w:rsidR="00ED47D4" w:rsidRDefault="00ED47D4" w:rsidP="00ED47D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14:paraId="2B67AAF3" w14:textId="77777777" w:rsidR="00ED47D4" w:rsidRPr="00510DD8" w:rsidRDefault="00485899" w:rsidP="00ED47D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E45D3F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>Because of the high rates of comorbidities associated with gout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(diabetes, chronic kidney disease, hypertension, obesity, myocardial infarction,</w:t>
      </w:r>
      <w:r w:rsidR="00ED47D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heart failure, and stroke), elevated serum uric acid concentrations or gout should prompt </w:t>
      </w:r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>evaluation for cardiovascular disease and the need for</w:t>
      </w:r>
      <w:r w:rsidR="00ED47D4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appropriate risk reduction measures. </w:t>
      </w:r>
    </w:p>
    <w:p w14:paraId="4315F136" w14:textId="77777777" w:rsidR="00ED47D4" w:rsidRPr="00ED28AB" w:rsidRDefault="00ED47D4" w:rsidP="00ED47D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14:paraId="3BD382A7" w14:textId="77777777" w:rsidR="00B527DA" w:rsidRDefault="00B527DA" w:rsidP="00B527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B527DA">
        <w:rPr>
          <w:rFonts w:asciiTheme="majorBidi" w:hAnsiTheme="majorBidi" w:cstheme="majorBidi"/>
          <w:b/>
          <w:bCs/>
          <w:color w:val="FF0000"/>
          <w:sz w:val="28"/>
          <w:szCs w:val="28"/>
        </w:rPr>
        <w:t>Reference</w:t>
      </w:r>
    </w:p>
    <w:p w14:paraId="3C4818EF" w14:textId="77777777" w:rsidR="00B527DA" w:rsidRPr="00B527DA" w:rsidRDefault="00B527DA" w:rsidP="00B527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</w:rPr>
        <w:t>Joseph T. DiPiro, Robert L. Pharmacotherapy: A Pathophysiologic Approach,</w:t>
      </w:r>
    </w:p>
    <w:p w14:paraId="34F1619E" w14:textId="77777777" w:rsidR="00B527DA" w:rsidRDefault="00B527DA" w:rsidP="00657FF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</w:rPr>
        <w:t>1</w:t>
      </w:r>
      <w:r w:rsidR="00657FF6">
        <w:rPr>
          <w:rFonts w:asciiTheme="majorBidi" w:hAnsiTheme="majorBidi" w:cstheme="majorBidi"/>
          <w:b/>
          <w:bCs/>
          <w:color w:val="333333"/>
          <w:sz w:val="28"/>
          <w:szCs w:val="28"/>
        </w:rPr>
        <w:t>2</w:t>
      </w: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</w:rPr>
        <w:t>Edition. 202</w:t>
      </w:r>
      <w:r w:rsidR="00657FF6">
        <w:rPr>
          <w:rFonts w:asciiTheme="majorBidi" w:hAnsiTheme="majorBidi" w:cstheme="majorBidi"/>
          <w:b/>
          <w:bCs/>
          <w:color w:val="333333"/>
          <w:sz w:val="28"/>
          <w:szCs w:val="28"/>
        </w:rPr>
        <w:t>3</w:t>
      </w: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</w:rPr>
        <w:t>.</w:t>
      </w:r>
    </w:p>
    <w:p w14:paraId="1CDC409D" w14:textId="77777777" w:rsidR="00DE1EC3" w:rsidRDefault="00DE1EC3" w:rsidP="00DE1EC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14:paraId="5D5B7684" w14:textId="77777777" w:rsidR="00DE1EC3" w:rsidRDefault="00DE1EC3" w:rsidP="00DE1EC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14:paraId="2F1DAF47" w14:textId="77777777" w:rsidR="00DE1EC3" w:rsidRDefault="00DE1EC3" w:rsidP="00DE1EC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14:paraId="63F45F9D" w14:textId="77777777" w:rsidR="00DE1EC3" w:rsidRDefault="00DE1EC3" w:rsidP="00DE1EC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14:paraId="27F6A863" w14:textId="77777777" w:rsidR="00DE1EC3" w:rsidRDefault="00DE1EC3" w:rsidP="00DE1EC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14:paraId="6164FCD6" w14:textId="5AC3D92F" w:rsidR="00DE1EC3" w:rsidRPr="00BB39F6" w:rsidRDefault="00DE1EC3" w:rsidP="00DE1EC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="Diwani Letter" w:hint="cs"/>
          <w:b/>
          <w:bCs/>
          <w:color w:val="333333"/>
          <w:sz w:val="72"/>
          <w:szCs w:val="72"/>
          <w:rtl/>
          <w:lang w:bidi="ar-IQ"/>
        </w:rPr>
      </w:pPr>
      <w:r w:rsidRPr="00BB39F6">
        <w:rPr>
          <w:rFonts w:asciiTheme="majorBidi" w:hAnsiTheme="majorBidi" w:cs="Diwani Letter" w:hint="cs"/>
          <w:b/>
          <w:bCs/>
          <w:color w:val="333333"/>
          <w:sz w:val="72"/>
          <w:szCs w:val="72"/>
          <w:rtl/>
          <w:lang w:bidi="ar-IQ"/>
        </w:rPr>
        <w:t>ليث غضنفر</w:t>
      </w:r>
    </w:p>
    <w:sectPr w:rsidR="00DE1EC3" w:rsidRPr="00BB39F6" w:rsidSect="0049669A">
      <w:footerReference w:type="default" r:id="rId8"/>
      <w:pgSz w:w="11906" w:h="16838"/>
      <w:pgMar w:top="426" w:right="707" w:bottom="993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109F9" w14:textId="77777777" w:rsidR="0049669A" w:rsidRDefault="0049669A" w:rsidP="009C79FE">
      <w:pPr>
        <w:spacing w:after="0" w:line="240" w:lineRule="auto"/>
      </w:pPr>
      <w:r>
        <w:separator/>
      </w:r>
    </w:p>
  </w:endnote>
  <w:endnote w:type="continuationSeparator" w:id="0">
    <w:p w14:paraId="4FC9303A" w14:textId="77777777" w:rsidR="0049669A" w:rsidRDefault="0049669A" w:rsidP="009C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218891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FA166A" w14:textId="77777777" w:rsidR="000746CE" w:rsidRDefault="000746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A0A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14:paraId="433A81B4" w14:textId="77777777" w:rsidR="000746CE" w:rsidRDefault="00074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EE5BA" w14:textId="77777777" w:rsidR="0049669A" w:rsidRDefault="0049669A" w:rsidP="009C79FE">
      <w:pPr>
        <w:spacing w:after="0" w:line="240" w:lineRule="auto"/>
      </w:pPr>
      <w:r>
        <w:separator/>
      </w:r>
    </w:p>
  </w:footnote>
  <w:footnote w:type="continuationSeparator" w:id="0">
    <w:p w14:paraId="572F9B4F" w14:textId="77777777" w:rsidR="0049669A" w:rsidRDefault="0049669A" w:rsidP="009C7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D333B"/>
    <w:multiLevelType w:val="multilevel"/>
    <w:tmpl w:val="3E8A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85CA6"/>
    <w:multiLevelType w:val="multilevel"/>
    <w:tmpl w:val="22C4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53481"/>
    <w:multiLevelType w:val="multilevel"/>
    <w:tmpl w:val="D060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65938"/>
    <w:multiLevelType w:val="multilevel"/>
    <w:tmpl w:val="E572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B08D5"/>
    <w:multiLevelType w:val="multilevel"/>
    <w:tmpl w:val="288E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4325B7"/>
    <w:multiLevelType w:val="multilevel"/>
    <w:tmpl w:val="504C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AA5C53"/>
    <w:multiLevelType w:val="hybridMultilevel"/>
    <w:tmpl w:val="59E8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C532D"/>
    <w:multiLevelType w:val="hybridMultilevel"/>
    <w:tmpl w:val="4A6C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928CC"/>
    <w:multiLevelType w:val="multilevel"/>
    <w:tmpl w:val="8466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D23984"/>
    <w:multiLevelType w:val="hybridMultilevel"/>
    <w:tmpl w:val="8992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72518">
    <w:abstractNumId w:val="8"/>
  </w:num>
  <w:num w:numId="2" w16cid:durableId="964505614">
    <w:abstractNumId w:val="2"/>
  </w:num>
  <w:num w:numId="3" w16cid:durableId="2052336172">
    <w:abstractNumId w:val="5"/>
  </w:num>
  <w:num w:numId="4" w16cid:durableId="1819028294">
    <w:abstractNumId w:val="4"/>
  </w:num>
  <w:num w:numId="5" w16cid:durableId="81487699">
    <w:abstractNumId w:val="3"/>
  </w:num>
  <w:num w:numId="6" w16cid:durableId="1723208568">
    <w:abstractNumId w:val="0"/>
  </w:num>
  <w:num w:numId="7" w16cid:durableId="1384789219">
    <w:abstractNumId w:val="1"/>
  </w:num>
  <w:num w:numId="8" w16cid:durableId="1436827917">
    <w:abstractNumId w:val="6"/>
  </w:num>
  <w:num w:numId="9" w16cid:durableId="1595283324">
    <w:abstractNumId w:val="7"/>
  </w:num>
  <w:num w:numId="10" w16cid:durableId="2606438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Q0sDAzMjUzNjE1NzBX0lEKTi0uzszPAykwrAUA7WfyUiwAAAA="/>
  </w:docVars>
  <w:rsids>
    <w:rsidRoot w:val="00085EC1"/>
    <w:rsid w:val="00000CB1"/>
    <w:rsid w:val="00022299"/>
    <w:rsid w:val="00066E93"/>
    <w:rsid w:val="000746CE"/>
    <w:rsid w:val="00085EC1"/>
    <w:rsid w:val="000A0F8D"/>
    <w:rsid w:val="000A39DD"/>
    <w:rsid w:val="000D6AAF"/>
    <w:rsid w:val="000F5BCB"/>
    <w:rsid w:val="000F5D8E"/>
    <w:rsid w:val="00126BAA"/>
    <w:rsid w:val="001369C1"/>
    <w:rsid w:val="001467B2"/>
    <w:rsid w:val="00153CB4"/>
    <w:rsid w:val="0018108D"/>
    <w:rsid w:val="001835C9"/>
    <w:rsid w:val="001A0CEA"/>
    <w:rsid w:val="001A4491"/>
    <w:rsid w:val="001B1C18"/>
    <w:rsid w:val="001C7900"/>
    <w:rsid w:val="001E6AD2"/>
    <w:rsid w:val="001F3F9F"/>
    <w:rsid w:val="001F6396"/>
    <w:rsid w:val="00202D23"/>
    <w:rsid w:val="0023109D"/>
    <w:rsid w:val="00240FC2"/>
    <w:rsid w:val="00293D7B"/>
    <w:rsid w:val="002A56DF"/>
    <w:rsid w:val="002C5D0B"/>
    <w:rsid w:val="002F42C5"/>
    <w:rsid w:val="00307E17"/>
    <w:rsid w:val="00324617"/>
    <w:rsid w:val="00324E72"/>
    <w:rsid w:val="003310D9"/>
    <w:rsid w:val="00337A94"/>
    <w:rsid w:val="00347D77"/>
    <w:rsid w:val="00394517"/>
    <w:rsid w:val="003C1E95"/>
    <w:rsid w:val="003D563D"/>
    <w:rsid w:val="003F1A57"/>
    <w:rsid w:val="003F21B7"/>
    <w:rsid w:val="003F5F6F"/>
    <w:rsid w:val="003F7B07"/>
    <w:rsid w:val="00405882"/>
    <w:rsid w:val="00420C39"/>
    <w:rsid w:val="00423E59"/>
    <w:rsid w:val="00430B69"/>
    <w:rsid w:val="00432419"/>
    <w:rsid w:val="00450611"/>
    <w:rsid w:val="0045071B"/>
    <w:rsid w:val="0045125D"/>
    <w:rsid w:val="004722A3"/>
    <w:rsid w:val="004752B9"/>
    <w:rsid w:val="0048401C"/>
    <w:rsid w:val="00485899"/>
    <w:rsid w:val="00487060"/>
    <w:rsid w:val="0049669A"/>
    <w:rsid w:val="004A73A6"/>
    <w:rsid w:val="004B2945"/>
    <w:rsid w:val="004B42A8"/>
    <w:rsid w:val="004B6F1E"/>
    <w:rsid w:val="004C32E3"/>
    <w:rsid w:val="004E1DCC"/>
    <w:rsid w:val="004F663A"/>
    <w:rsid w:val="00510DD8"/>
    <w:rsid w:val="00516926"/>
    <w:rsid w:val="00525FA9"/>
    <w:rsid w:val="0053555A"/>
    <w:rsid w:val="005627C5"/>
    <w:rsid w:val="00583888"/>
    <w:rsid w:val="005A7FF5"/>
    <w:rsid w:val="005B32AA"/>
    <w:rsid w:val="005C3F80"/>
    <w:rsid w:val="005D1A07"/>
    <w:rsid w:val="005D3E7B"/>
    <w:rsid w:val="00622897"/>
    <w:rsid w:val="0062558E"/>
    <w:rsid w:val="0063410E"/>
    <w:rsid w:val="0065062A"/>
    <w:rsid w:val="00653546"/>
    <w:rsid w:val="00655FED"/>
    <w:rsid w:val="00657FF6"/>
    <w:rsid w:val="00660CED"/>
    <w:rsid w:val="00690A20"/>
    <w:rsid w:val="006D0591"/>
    <w:rsid w:val="00701BAE"/>
    <w:rsid w:val="00721505"/>
    <w:rsid w:val="007404A7"/>
    <w:rsid w:val="00741490"/>
    <w:rsid w:val="00747F03"/>
    <w:rsid w:val="00761A5B"/>
    <w:rsid w:val="007621C3"/>
    <w:rsid w:val="00773A31"/>
    <w:rsid w:val="007A0A8A"/>
    <w:rsid w:val="007B6004"/>
    <w:rsid w:val="007E68A8"/>
    <w:rsid w:val="007F19A1"/>
    <w:rsid w:val="00804049"/>
    <w:rsid w:val="00804825"/>
    <w:rsid w:val="008939FF"/>
    <w:rsid w:val="008A3B3F"/>
    <w:rsid w:val="008B29AF"/>
    <w:rsid w:val="008B3138"/>
    <w:rsid w:val="008B4BC1"/>
    <w:rsid w:val="008D2536"/>
    <w:rsid w:val="008D5E15"/>
    <w:rsid w:val="008D7966"/>
    <w:rsid w:val="008E28D7"/>
    <w:rsid w:val="008E2A0A"/>
    <w:rsid w:val="00925EA6"/>
    <w:rsid w:val="00926008"/>
    <w:rsid w:val="009359FF"/>
    <w:rsid w:val="00956398"/>
    <w:rsid w:val="009608D6"/>
    <w:rsid w:val="00987645"/>
    <w:rsid w:val="00991827"/>
    <w:rsid w:val="009B0D47"/>
    <w:rsid w:val="009B224B"/>
    <w:rsid w:val="009C4D71"/>
    <w:rsid w:val="009C79FE"/>
    <w:rsid w:val="009D31BD"/>
    <w:rsid w:val="009E60CC"/>
    <w:rsid w:val="00A012B1"/>
    <w:rsid w:val="00A07CCC"/>
    <w:rsid w:val="00A10A8E"/>
    <w:rsid w:val="00A12584"/>
    <w:rsid w:val="00A130CF"/>
    <w:rsid w:val="00A26085"/>
    <w:rsid w:val="00A4401F"/>
    <w:rsid w:val="00A508F8"/>
    <w:rsid w:val="00A5155A"/>
    <w:rsid w:val="00A51CD2"/>
    <w:rsid w:val="00A532FE"/>
    <w:rsid w:val="00A54FEB"/>
    <w:rsid w:val="00A7600B"/>
    <w:rsid w:val="00A8009A"/>
    <w:rsid w:val="00A83FB6"/>
    <w:rsid w:val="00A966DA"/>
    <w:rsid w:val="00A969AE"/>
    <w:rsid w:val="00AB66BE"/>
    <w:rsid w:val="00AD10F0"/>
    <w:rsid w:val="00AD3BD4"/>
    <w:rsid w:val="00AD761C"/>
    <w:rsid w:val="00AE1E84"/>
    <w:rsid w:val="00AF560B"/>
    <w:rsid w:val="00B17CB0"/>
    <w:rsid w:val="00B361A8"/>
    <w:rsid w:val="00B503F7"/>
    <w:rsid w:val="00B527DA"/>
    <w:rsid w:val="00B72E59"/>
    <w:rsid w:val="00B75789"/>
    <w:rsid w:val="00B834B0"/>
    <w:rsid w:val="00B94318"/>
    <w:rsid w:val="00BB39F6"/>
    <w:rsid w:val="00BD69C4"/>
    <w:rsid w:val="00BE17AD"/>
    <w:rsid w:val="00BE5327"/>
    <w:rsid w:val="00BE6797"/>
    <w:rsid w:val="00BF062B"/>
    <w:rsid w:val="00C2374F"/>
    <w:rsid w:val="00C3347D"/>
    <w:rsid w:val="00C35779"/>
    <w:rsid w:val="00C75F21"/>
    <w:rsid w:val="00CA4528"/>
    <w:rsid w:val="00CB0602"/>
    <w:rsid w:val="00CD0420"/>
    <w:rsid w:val="00CD44AB"/>
    <w:rsid w:val="00D06001"/>
    <w:rsid w:val="00D06DBA"/>
    <w:rsid w:val="00D16FD5"/>
    <w:rsid w:val="00D35FDB"/>
    <w:rsid w:val="00D4331A"/>
    <w:rsid w:val="00D85713"/>
    <w:rsid w:val="00DA4411"/>
    <w:rsid w:val="00DA6BB8"/>
    <w:rsid w:val="00DB7551"/>
    <w:rsid w:val="00DD24DE"/>
    <w:rsid w:val="00DD3B5C"/>
    <w:rsid w:val="00DD3E17"/>
    <w:rsid w:val="00DD4C24"/>
    <w:rsid w:val="00DD5DCF"/>
    <w:rsid w:val="00DE1EC3"/>
    <w:rsid w:val="00DE719C"/>
    <w:rsid w:val="00DF25A3"/>
    <w:rsid w:val="00E0566E"/>
    <w:rsid w:val="00E05705"/>
    <w:rsid w:val="00E26382"/>
    <w:rsid w:val="00E407F9"/>
    <w:rsid w:val="00E45D3F"/>
    <w:rsid w:val="00E67F14"/>
    <w:rsid w:val="00E7219D"/>
    <w:rsid w:val="00E861CC"/>
    <w:rsid w:val="00E90342"/>
    <w:rsid w:val="00EA27D9"/>
    <w:rsid w:val="00EA3500"/>
    <w:rsid w:val="00EA6753"/>
    <w:rsid w:val="00EB0B76"/>
    <w:rsid w:val="00EB1305"/>
    <w:rsid w:val="00ED28AB"/>
    <w:rsid w:val="00ED47D4"/>
    <w:rsid w:val="00EF71B5"/>
    <w:rsid w:val="00F00195"/>
    <w:rsid w:val="00F0769C"/>
    <w:rsid w:val="00F27D50"/>
    <w:rsid w:val="00F31CDC"/>
    <w:rsid w:val="00F51847"/>
    <w:rsid w:val="00F73EC3"/>
    <w:rsid w:val="00FA2811"/>
    <w:rsid w:val="00FC7499"/>
    <w:rsid w:val="00FD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43D65"/>
  <w15:docId w15:val="{903C5EDB-3E24-44A2-A303-868A307B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9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9FE"/>
    <w:rPr>
      <w:color w:val="800080"/>
      <w:u w:val="single"/>
    </w:rPr>
  </w:style>
  <w:style w:type="paragraph" w:customStyle="1" w:styleId="disclosurelink">
    <w:name w:val="disclosurelink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9C79FE"/>
  </w:style>
  <w:style w:type="paragraph" w:customStyle="1" w:styleId="headinganchor">
    <w:name w:val="headinganchor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">
    <w:name w:val="h1"/>
    <w:basedOn w:val="DefaultParagraphFont"/>
    <w:rsid w:val="009C79FE"/>
  </w:style>
  <w:style w:type="character" w:customStyle="1" w:styleId="headingendmark">
    <w:name w:val="headingendmark"/>
    <w:basedOn w:val="DefaultParagraphFont"/>
    <w:rsid w:val="009C79FE"/>
  </w:style>
  <w:style w:type="paragraph" w:styleId="NormalWeb">
    <w:name w:val="Normal (Web)"/>
    <w:basedOn w:val="Normal"/>
    <w:uiPriority w:val="99"/>
    <w:semiHidden/>
    <w:unhideWhenUsed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9C79FE"/>
  </w:style>
  <w:style w:type="character" w:customStyle="1" w:styleId="nowrap">
    <w:name w:val="nowrap"/>
    <w:basedOn w:val="DefaultParagraphFont"/>
    <w:rsid w:val="009C79FE"/>
  </w:style>
  <w:style w:type="paragraph" w:customStyle="1" w:styleId="bulletindent1">
    <w:name w:val="bulletindent1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9C79FE"/>
  </w:style>
  <w:style w:type="paragraph" w:customStyle="1" w:styleId="bulletindent2">
    <w:name w:val="bulletindent2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3">
    <w:name w:val="h3"/>
    <w:basedOn w:val="DefaultParagraphFont"/>
    <w:rsid w:val="009C79FE"/>
  </w:style>
  <w:style w:type="character" w:styleId="Strong">
    <w:name w:val="Strong"/>
    <w:basedOn w:val="DefaultParagraphFont"/>
    <w:uiPriority w:val="22"/>
    <w:qFormat/>
    <w:rsid w:val="009C79FE"/>
    <w:rPr>
      <w:b/>
      <w:bCs/>
    </w:rPr>
  </w:style>
  <w:style w:type="character" w:customStyle="1" w:styleId="h4">
    <w:name w:val="h4"/>
    <w:basedOn w:val="DefaultParagraphFont"/>
    <w:rsid w:val="009C79FE"/>
  </w:style>
  <w:style w:type="paragraph" w:customStyle="1" w:styleId="bulletindent3">
    <w:name w:val="bulletindent3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FE"/>
  </w:style>
  <w:style w:type="paragraph" w:styleId="Footer">
    <w:name w:val="footer"/>
    <w:basedOn w:val="Normal"/>
    <w:link w:val="Foot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FE"/>
  </w:style>
  <w:style w:type="paragraph" w:styleId="BalloonText">
    <w:name w:val="Balloon Text"/>
    <w:basedOn w:val="Normal"/>
    <w:link w:val="BalloonTextChar"/>
    <w:uiPriority w:val="99"/>
    <w:semiHidden/>
    <w:unhideWhenUsed/>
    <w:rsid w:val="00B8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hasis2">
    <w:name w:val="Emphasis2"/>
    <w:basedOn w:val="DefaultParagraphFont"/>
    <w:rsid w:val="00D85713"/>
  </w:style>
  <w:style w:type="paragraph" w:styleId="ListParagraph">
    <w:name w:val="List Paragraph"/>
    <w:basedOn w:val="Normal"/>
    <w:uiPriority w:val="34"/>
    <w:qFormat/>
    <w:rsid w:val="001C7900"/>
    <w:pPr>
      <w:ind w:left="720"/>
      <w:contextualSpacing/>
    </w:pPr>
  </w:style>
  <w:style w:type="paragraph" w:customStyle="1" w:styleId="Default">
    <w:name w:val="Default"/>
    <w:rsid w:val="00A96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002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332729322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416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6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421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328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8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7975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9905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2283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1063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685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775516675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403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3959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2047901227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5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5869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155344113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422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9012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344865304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764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02136-C095-4ABB-A990-1F010D7B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5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Ekhlas</cp:lastModifiedBy>
  <cp:revision>62</cp:revision>
  <cp:lastPrinted>2023-05-01T08:58:00Z</cp:lastPrinted>
  <dcterms:created xsi:type="dcterms:W3CDTF">2020-05-04T12:27:00Z</dcterms:created>
  <dcterms:modified xsi:type="dcterms:W3CDTF">2024-01-30T17:19:00Z</dcterms:modified>
</cp:coreProperties>
</file>