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6E" w:rsidRPr="0045125D" w:rsidRDefault="0045125D" w:rsidP="009268C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9268C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45125D" w:rsidRDefault="0045125D" w:rsidP="009268C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</w:t>
      </w:r>
      <w:r w:rsidR="00E0566E" w:rsidRPr="006A62B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Cardiovascular disorders</w:t>
      </w:r>
    </w:p>
    <w:p w:rsidR="00E0566E" w:rsidRPr="00F8579A" w:rsidRDefault="0045125D" w:rsidP="009268C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rtl/>
          <w:lang w:bidi="ar-IQ"/>
        </w:rPr>
      </w:pPr>
      <w:r w:rsidRPr="00F8579A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</w:rPr>
        <w:t xml:space="preserve"> </w:t>
      </w:r>
      <w:r w:rsidR="009268CD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</w:rPr>
        <w:t xml:space="preserve"> </w:t>
      </w:r>
      <w:r w:rsidRPr="00F8579A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</w:rPr>
        <w:t xml:space="preserve"> </w:t>
      </w:r>
      <w:r w:rsidR="00AF560B" w:rsidRPr="00F8579A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</w:rPr>
        <w:t>Ischemic Heart Disease</w:t>
      </w:r>
      <w:r w:rsidRPr="00F8579A">
        <w:rPr>
          <w:rFonts w:asciiTheme="majorBidi" w:eastAsia="Times New Roman" w:hAnsiTheme="majorBidi" w:cstheme="majorBidi" w:hint="cs"/>
          <w:b/>
          <w:bCs/>
          <w:color w:val="0000FF"/>
          <w:sz w:val="40"/>
          <w:szCs w:val="40"/>
          <w:rtl/>
          <w:lang w:bidi="ar-IQ"/>
        </w:rPr>
        <w:t xml:space="preserve">   </w:t>
      </w:r>
    </w:p>
    <w:p w:rsidR="00C67677" w:rsidRDefault="0045125D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Introduction</w:t>
      </w:r>
    </w:p>
    <w:p w:rsidR="00345835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Ischemic heart disease (IHD) is defined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as lack of oxygen and decreased or no blood flow to the myocardium resulting from coronary artery</w:t>
      </w:r>
      <w:r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narrowing or obstruction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345835" w:rsidRPr="00F8579A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345835" w:rsidP="00B279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It may present as </w:t>
      </w:r>
      <w:r w:rsidR="00C67677" w:rsidRPr="00B279A6">
        <w:rPr>
          <w:rFonts w:asciiTheme="majorBidi" w:hAnsiTheme="majorBidi" w:cstheme="majorBidi"/>
          <w:b/>
          <w:bCs/>
          <w:color w:val="333333"/>
          <w:sz w:val="28"/>
          <w:szCs w:val="28"/>
        </w:rPr>
        <w:t>acute coronary syndrome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ACS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B279A6">
        <w:rPr>
          <w:rFonts w:asciiTheme="majorBidi" w:hAnsiTheme="majorBidi" w:cstheme="majorBidi"/>
          <w:color w:val="333333"/>
          <w:sz w:val="28"/>
          <w:szCs w:val="28"/>
        </w:rPr>
        <w:t>[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>which includes unstable angina and non</w:t>
      </w:r>
      <w:r w:rsidR="00C67677" w:rsidRPr="00C67677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>ST-segment elevation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NSTE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>) or ST-segment elevation (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STE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>) myocardial infarction (MI)</w:t>
      </w:r>
      <w:r w:rsidR="00B279A6">
        <w:rPr>
          <w:rFonts w:asciiTheme="majorBidi" w:hAnsiTheme="majorBidi" w:cstheme="majorBidi"/>
          <w:color w:val="333333"/>
          <w:sz w:val="28"/>
          <w:szCs w:val="28"/>
        </w:rPr>
        <w:t>]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stable exertional angina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ischemia without symptoms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microvascular</w:t>
      </w:r>
      <w:r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angina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ischemia due to coronary artery vasospasm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C67677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variant or Prinzmetal angina</w:t>
      </w:r>
      <w:r w:rsidR="00C67677" w:rsidRPr="00C67677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</w:p>
    <w:p w:rsidR="008D5E15" w:rsidRDefault="008D5E15" w:rsidP="004A73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Default="000746CE" w:rsidP="000D7AD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</w:t>
      </w:r>
    </w:p>
    <w:p w:rsidR="00653A5B" w:rsidRPr="00F6798A" w:rsidRDefault="00345835" w:rsidP="00497B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Angina pectoris usually results </w:t>
      </w:r>
      <w:r w:rsidR="00653A5B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from increased myocardial oxygen demand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in the setting of a </w:t>
      </w:r>
      <w:r w:rsidR="00653A5B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fixed decrease in myocardial oxygen supply</w:t>
      </w:r>
      <w:r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F6798A">
        <w:rPr>
          <w:rFonts w:asciiTheme="majorBidi" w:hAnsiTheme="majorBidi" w:cstheme="majorBidi"/>
          <w:b/>
          <w:bCs/>
          <w:color w:val="333333"/>
          <w:sz w:val="28"/>
          <w:szCs w:val="28"/>
        </w:rPr>
        <w:t>because of atherosclerotic plaque.</w:t>
      </w:r>
    </w:p>
    <w:p w:rsidR="00345835" w:rsidRPr="00F8579A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F1330" w:rsidRDefault="001A0B94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F6798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3F1330">
        <w:rPr>
          <w:rFonts w:asciiTheme="majorBidi" w:hAnsiTheme="majorBidi" w:cstheme="majorBidi"/>
          <w:color w:val="333333"/>
          <w:sz w:val="28"/>
          <w:szCs w:val="28"/>
        </w:rPr>
        <w:t>C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oronary plaques that occupy less than 50%</w:t>
      </w:r>
      <w:r w:rsidR="00653A5B" w:rsidRPr="00653A5B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70% of the vessel luminal diameter rarely produce ischemia or angina. However, </w:t>
      </w:r>
      <w:r w:rsidR="00653A5B" w:rsidRPr="00B279A6">
        <w:rPr>
          <w:rFonts w:asciiTheme="majorBidi" w:hAnsiTheme="majorBidi" w:cstheme="majorBidi"/>
          <w:b/>
          <w:bCs/>
          <w:color w:val="333333"/>
          <w:sz w:val="28"/>
          <w:szCs w:val="28"/>
        </w:rPr>
        <w:t>smaller plaques have a lipid-rich core and thin fibrous cap and</w:t>
      </w:r>
      <w:r w:rsidR="003F1330" w:rsidRPr="00B279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B279A6">
        <w:rPr>
          <w:rFonts w:asciiTheme="majorBidi" w:hAnsiTheme="majorBidi" w:cstheme="majorBidi"/>
          <w:b/>
          <w:bCs/>
          <w:color w:val="333333"/>
          <w:sz w:val="28"/>
          <w:szCs w:val="28"/>
        </w:rPr>
        <w:t>are more prone to rupture and cause acute thrombosis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3F1330" w:rsidRPr="00B418A6" w:rsidRDefault="003F1330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F1330" w:rsidRDefault="001A0B94" w:rsidP="00F6798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When the luminal diameter of epicardial vessels is </w:t>
      </w:r>
      <w:r w:rsidR="00653A5B" w:rsidRP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reduced by 70% or more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, minimal physical exertion may result in a flow deficit with</w:t>
      </w:r>
      <w:r w:rsidR="003F13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myocardial ischemia and often angina. </w:t>
      </w:r>
    </w:p>
    <w:p w:rsidR="00F6798A" w:rsidRPr="00B418A6" w:rsidRDefault="00F6798A" w:rsidP="00F6798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653A5B" w:rsidRDefault="001A0B94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Patients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with variant (Prinzmetal) angina usually do not have a coronary flow-obstructing plaque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but instead have significant reduction in</w:t>
      </w:r>
      <w:r w:rsidR="003F13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myocardial oxygen supply due to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vasospasm in epicardial vessels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418A6" w:rsidRPr="00B418A6" w:rsidRDefault="00B418A6" w:rsidP="00F857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746CE" w:rsidRDefault="00204591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presentation</w:t>
      </w:r>
    </w:p>
    <w:p w:rsidR="00345835" w:rsidRPr="00345835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345835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Patients typically complain of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chest pain precipitated by exertion 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>or activities of daily living that is described as squeezing, crushing, heaviness, or</w:t>
      </w:r>
      <w:r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chest tightness. It can also be more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vague and described as a numbness or burning in the chest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345835" w:rsidRPr="001A0B94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trike/>
          <w:color w:val="333333"/>
          <w:sz w:val="16"/>
          <w:szCs w:val="16"/>
        </w:rPr>
      </w:pPr>
    </w:p>
    <w:p w:rsidR="00345835" w:rsidRPr="00345835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345835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The location is often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substernal and may radiate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to the right or left shoulder or arm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 (left more commonly),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neck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back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abdomen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. Ischemic symptoms may be associated with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diaphoresis,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nausea, vomiting, and dyspnea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345835" w:rsidRPr="00B418A6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F8579A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345835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Chest pain generally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lasts from 5 to 20 minutes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 and is usually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relieved by rest or sublingual nitroglycerin (SL NTG).</w:t>
      </w:r>
    </w:p>
    <w:p w:rsidR="00345835" w:rsidRPr="00B418A6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345835" w:rsidRDefault="00345835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345835"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Some patients (especially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women and older individuals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) present with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atypical chest pain</w:t>
      </w:r>
      <w:r w:rsidR="001A0B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.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with diabetes mellitus may have decreased pain sensation due to neuropathy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45835" w:rsidRPr="00B418A6" w:rsidRDefault="00345835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345835" w:rsidRDefault="00345835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345835"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Patients with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variant (Prinzmetal)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 angina are typically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younger 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and may present with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chest pain at rest</w:t>
      </w:r>
      <w:r w:rsidR="00653A5B" w:rsidRPr="00345835">
        <w:rPr>
          <w:rFonts w:asciiTheme="majorBidi" w:hAnsiTheme="majorBidi" w:cstheme="majorBidi"/>
          <w:color w:val="333333"/>
          <w:sz w:val="28"/>
          <w:szCs w:val="28"/>
        </w:rPr>
        <w:t xml:space="preserve">, often early in the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morning</w:t>
      </w:r>
      <w:r w:rsidR="001A0B94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B418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02D23" w:rsidRDefault="00602D23" w:rsidP="001A0B9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602D23" w:rsidRDefault="00602D23" w:rsidP="00602D2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45125D" w:rsidRDefault="000746CE" w:rsidP="00602D2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345835" w:rsidRDefault="00F8579A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Obtain the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medical history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to identify the quality and severity of chest pain, precipitating factors, location, duration, pain radiation, and response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to nitroglycerin or rest. </w:t>
      </w:r>
    </w:p>
    <w:p w:rsidR="00345835" w:rsidRPr="00B418A6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0B478D" w:rsidRDefault="001A0B94" w:rsidP="00F857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Assess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nonmodifiable risk factors for coronary artery disease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(CAD): age, sex, and family history of premature atherosclerotic disease in first</w:t>
      </w:r>
      <w:r w:rsidR="0034583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degree</w:t>
      </w:r>
      <w:r w:rsidR="0034583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relatives (male onset before age 55 or female before age 65). </w:t>
      </w:r>
    </w:p>
    <w:p w:rsidR="000B478D" w:rsidRPr="00B418A6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Default="001A0B94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Identify the presence of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modifiable CAD risk factors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: hypertension, diabetes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mellitus, dyslipidemia, and cigarette smoking.</w:t>
      </w:r>
    </w:p>
    <w:p w:rsidR="000B478D" w:rsidRPr="00B418A6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1A0B94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Cardiac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troponin concentrations are not typically elevated in stable IHD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B478D" w:rsidRPr="00B418A6" w:rsidRDefault="000B478D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0B478D" w:rsidRPr="00F8579A" w:rsidRDefault="003078D7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Resting ECG is normal in at least half of patients with angina who are not experiencing acute ischemia.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About 50% of patients develop ischemic 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ECG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changes during an episode of angina, which can be observed on the ECG during an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exercise stress test. </w:t>
      </w:r>
    </w:p>
    <w:p w:rsidR="000B478D" w:rsidRPr="00B418A6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3078D7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F8579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Coronary angiography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is the most accurate test for confirming CAD but is invasive and requires arterial access. Myocardial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perfusion imaging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cardiac magnetic resonance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CT angiography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can also be used to detect CAD.</w:t>
      </w:r>
    </w:p>
    <w:p w:rsidR="000746CE" w:rsidRPr="00B418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Default="00405882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F8579A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Goals of Treatment: </w:t>
      </w:r>
    </w:p>
    <w:p w:rsidR="00653A5B" w:rsidRPr="00653A5B" w:rsidRDefault="00F8579A" w:rsidP="00F857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 primary goal of therapy is complete (or nearly complete)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elimination of anginal chest pain and return to normal activities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8579A" w:rsidRPr="00B418A6" w:rsidRDefault="00F8579A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653A5B" w:rsidRDefault="00F8579A" w:rsidP="00F857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Long-term goals are to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slow progression of atherosclerosis and prevent complications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such as MI, heart failure, stroke, and death.</w:t>
      </w:r>
      <w:r w:rsidR="00405882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653A5B" w:rsidRPr="00653A5B" w:rsidRDefault="003F1330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Lifestyle modifications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include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daily physical activity, weight management, dietary therapy (reduced intake of saturated fats, and cholesterol), smoking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cessation, psychological interventions (eg, screening and treatment for depression if appropriate), limitation of alcohol intake, and avoiding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exposure to air pollution.</w:t>
      </w:r>
    </w:p>
    <w:p w:rsidR="003F1330" w:rsidRPr="00B418A6" w:rsidRDefault="003F1330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3F1330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Surgical revascularization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options for select patients include coronary artery bypass grafting (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CABG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) or percutaneous coronary intervention (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PCI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)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with or without stent placement.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3F1330" w:rsidRDefault="00F8579A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Guideline-directed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medical therapy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(GDMT)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reduces the rates of death and MI similar to revascularization therapy.</w:t>
      </w:r>
    </w:p>
    <w:p w:rsidR="003F1330" w:rsidRPr="00B418A6" w:rsidRDefault="003F1330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F8579A" w:rsidP="003F13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Approaches to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risk factor modification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include the following recommendations:</w:t>
      </w:r>
    </w:p>
    <w:p w:rsidR="00653A5B" w:rsidRPr="00F8579A" w:rsidRDefault="00653A5B" w:rsidP="00702A0C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Dyslipidemia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: Use moderate- or high-dose 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statin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 therapy in addition to lifestyle</w:t>
      </w:r>
      <w:r w:rsidR="003F1330"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changes. Addition of ezetimibe (first) or a PCSK9 inhibitor (second) is reasonable for patients who do not tolerate statins or do 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not attain a</w:t>
      </w:r>
      <w:r w:rsidR="003F1330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50% decrease in LDL cholesterol (or LDL remains above 70</w:t>
      </w:r>
      <w:r w:rsidRPr="00F8579A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100 mg/dL).</w:t>
      </w:r>
    </w:p>
    <w:p w:rsidR="00653A5B" w:rsidRPr="003F1330" w:rsidRDefault="00653A5B" w:rsidP="003F1330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Blood pressure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: If BP is </w:t>
      </w:r>
      <w:r w:rsidRPr="003F1330">
        <w:rPr>
          <w:rFonts w:asciiTheme="majorBidi" w:hAnsiTheme="majorBidi" w:cstheme="majorBidi" w:hint="cs"/>
          <w:color w:val="333333"/>
          <w:sz w:val="28"/>
          <w:szCs w:val="28"/>
        </w:rPr>
        <w:t>≥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>130/80 mm Hg, institute drug therapy in addition to or after a trial of lifestyle modifications.</w:t>
      </w:r>
    </w:p>
    <w:p w:rsidR="00653A5B" w:rsidRDefault="00653A5B" w:rsidP="00F8579A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Diabetes mellitus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: Pharmacotherapy to achieve a target A1C of </w:t>
      </w:r>
      <w:r w:rsidRPr="003F1330">
        <w:rPr>
          <w:rFonts w:asciiTheme="majorBidi" w:hAnsiTheme="majorBidi" w:cstheme="majorBidi" w:hint="cs"/>
          <w:color w:val="333333"/>
          <w:sz w:val="28"/>
          <w:szCs w:val="28"/>
        </w:rPr>
        <w:t>≤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>7% is reasonable for select patients (eg, short duration</w:t>
      </w:r>
      <w:r w:rsidR="003F1330"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>of diabetes and long life expectancy). An A1C goal of &lt;8% is reasonable for other patients, such as those with micro- or macrovascular</w:t>
      </w:r>
      <w:r w:rsidR="003F1330"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>complications or coexisting medical conditions.</w:t>
      </w:r>
    </w:p>
    <w:p w:rsidR="003F1330" w:rsidRDefault="003F1330" w:rsidP="003F1330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8579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Annual </w:t>
      </w:r>
      <w:r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influenza vaccinations</w:t>
      </w:r>
      <w:r w:rsidRPr="003F1330">
        <w:rPr>
          <w:rFonts w:asciiTheme="majorBidi" w:hAnsiTheme="majorBidi" w:cstheme="majorBidi"/>
          <w:color w:val="333333"/>
          <w:sz w:val="28"/>
          <w:szCs w:val="28"/>
        </w:rPr>
        <w:t xml:space="preserve"> are recommended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418A6" w:rsidRPr="00B418A6" w:rsidRDefault="00B418A6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1A0B94" w:rsidRDefault="00754746" w:rsidP="001A0B9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A0B94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Antithrombotic Therapy </w:t>
      </w:r>
    </w:p>
    <w:p w:rsidR="00956828" w:rsidRPr="001A0B94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1A0B94">
        <w:rPr>
          <w:rFonts w:asciiTheme="majorBidi" w:hAnsiTheme="majorBidi" w:cstheme="majorBidi"/>
          <w:b/>
          <w:bCs/>
          <w:color w:val="333333"/>
          <w:sz w:val="28"/>
          <w:szCs w:val="28"/>
        </w:rPr>
        <w:t>Aspirin</w:t>
      </w:r>
      <w:r w:rsidR="00653A5B"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 reduced platelet activation</w:t>
      </w:r>
      <w:r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and aggregation. A small percentage of patients are nonresponsive to aspirin's antiplatelet effects. </w:t>
      </w:r>
    </w:p>
    <w:p w:rsidR="00956828" w:rsidRPr="001A0B94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1A0B94" w:rsidRDefault="00497B83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956828" w:rsidRPr="001A0B9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1A0B94">
        <w:rPr>
          <w:rFonts w:asciiTheme="majorBidi" w:hAnsiTheme="majorBidi" w:cstheme="majorBidi"/>
          <w:color w:val="333333"/>
          <w:sz w:val="28"/>
          <w:szCs w:val="28"/>
        </w:rPr>
        <w:t>The ACC/AHA guidelines</w:t>
      </w:r>
      <w:r w:rsidR="00956828"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1A0B94">
        <w:rPr>
          <w:rFonts w:asciiTheme="majorBidi" w:hAnsiTheme="majorBidi" w:cstheme="majorBidi"/>
          <w:color w:val="333333"/>
          <w:sz w:val="28"/>
          <w:szCs w:val="28"/>
        </w:rPr>
        <w:t>contain the following recommendations for stable IHD:</w:t>
      </w:r>
    </w:p>
    <w:p w:rsidR="00653A5B" w:rsidRPr="001A0B94" w:rsidRDefault="00653A5B" w:rsidP="0095682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b/>
          <w:bCs/>
          <w:color w:val="333333"/>
          <w:sz w:val="28"/>
          <w:szCs w:val="28"/>
        </w:rPr>
        <w:t>Aspirin</w:t>
      </w:r>
      <w:r w:rsidRPr="001A0B94">
        <w:rPr>
          <w:rFonts w:asciiTheme="majorBidi" w:hAnsiTheme="majorBidi" w:cstheme="majorBidi"/>
          <w:color w:val="333333"/>
          <w:sz w:val="28"/>
          <w:szCs w:val="28"/>
        </w:rPr>
        <w:t>: 75</w:t>
      </w:r>
      <w:r w:rsidRPr="001A0B94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Pr="001A0B94">
        <w:rPr>
          <w:rFonts w:asciiTheme="majorBidi" w:hAnsiTheme="majorBidi" w:cstheme="majorBidi"/>
          <w:color w:val="333333"/>
          <w:sz w:val="28"/>
          <w:szCs w:val="28"/>
        </w:rPr>
        <w:t>162 mg daily should be continued indefinitely in the absence of contraindications.</w:t>
      </w:r>
    </w:p>
    <w:p w:rsidR="00956828" w:rsidRPr="001A0B94" w:rsidRDefault="00653A5B" w:rsidP="001A0B94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b/>
          <w:bCs/>
          <w:color w:val="333333"/>
          <w:sz w:val="28"/>
          <w:szCs w:val="28"/>
        </w:rPr>
        <w:t>Clopidogrel</w:t>
      </w:r>
      <w:r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  <w:r w:rsidR="006B6483" w:rsidRPr="001A0B94">
        <w:rPr>
          <w:rFonts w:asciiTheme="majorBidi" w:hAnsiTheme="majorBidi" w:cstheme="majorBidi"/>
          <w:color w:val="333333"/>
          <w:sz w:val="28"/>
          <w:szCs w:val="28"/>
        </w:rPr>
        <w:t>75 mg daily is a suitable alternative for patients unable to take aspirin due to allergy or intolerance.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56828" w:rsidRDefault="007B678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95682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 responsiveness to clopidogrel is highly</w:t>
      </w:r>
      <w:r w:rsidR="00956828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F8579A">
        <w:rPr>
          <w:rFonts w:asciiTheme="majorBidi" w:hAnsiTheme="majorBidi" w:cstheme="majorBidi"/>
          <w:b/>
          <w:bCs/>
          <w:color w:val="333333"/>
          <w:sz w:val="28"/>
          <w:szCs w:val="28"/>
        </w:rPr>
        <w:t>variable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, with estimates of nonresponsiveness ranging from 5% to 44% of patients. The most common cause of nonresponsiveness is</w:t>
      </w:r>
      <w:r w:rsidR="0095682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nonadherence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, but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genetic polymorphisms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to CYP2C19 may contribute in some patients. 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Default="001A0B94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95682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Dual antiplatelet therapy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(DAPT) with aspirin plus a P2Y12 inhibitor (clopidogrel, prasugrel, ticagrelor) is beneficial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after PCI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with</w:t>
      </w:r>
      <w:r w:rsidR="00956828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coronary stent placement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and after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for ACS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 The combination of aspirin (75</w:t>
      </w:r>
      <w:r w:rsidR="00653A5B" w:rsidRPr="00653A5B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162 mg</w:t>
      </w:r>
      <w:r w:rsidR="0095682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daily) and clopidogrel 75 mg daily may be reasonable in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certain high-risk patients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6B6483" w:rsidRDefault="006B6483" w:rsidP="006B64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6B6483" w:rsidRPr="00653A5B" w:rsidRDefault="001A0B94" w:rsidP="00D61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A0B94"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B6483" w:rsidRPr="001A0B94">
        <w:rPr>
          <w:rFonts w:asciiTheme="majorBidi" w:hAnsiTheme="majorBidi" w:cstheme="majorBidi"/>
          <w:b/>
          <w:bCs/>
          <w:color w:val="333333"/>
          <w:sz w:val="28"/>
          <w:szCs w:val="28"/>
        </w:rPr>
        <w:t>Rivaroxaban</w:t>
      </w:r>
      <w:r w:rsidR="00D6122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D6122E"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low-dose</w:t>
      </w:r>
      <w:r w:rsidR="00D6122E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="006B6483" w:rsidRPr="001A0B94">
        <w:rPr>
          <w:rFonts w:asciiTheme="majorBidi" w:hAnsiTheme="majorBidi" w:cstheme="majorBidi"/>
          <w:color w:val="333333"/>
          <w:sz w:val="28"/>
          <w:szCs w:val="28"/>
        </w:rPr>
        <w:t>, a direct factor Xa inhibitor, has demonstrated benefit</w:t>
      </w:r>
      <w:r w:rsidR="0020459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204591" w:rsidRPr="008A5F9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reduction of </w:t>
      </w:r>
      <w:r w:rsidR="008A5F97" w:rsidRPr="008A5F97">
        <w:rPr>
          <w:rFonts w:asciiTheme="majorBidi" w:hAnsiTheme="majorBidi" w:cstheme="majorBidi"/>
          <w:b/>
          <w:bCs/>
          <w:color w:val="333333"/>
          <w:sz w:val="28"/>
          <w:szCs w:val="28"/>
        </w:rPr>
        <w:t>m</w:t>
      </w:r>
      <w:r w:rsidR="00204591" w:rsidRPr="008A5F97">
        <w:rPr>
          <w:rFonts w:asciiTheme="majorBidi" w:hAnsiTheme="majorBidi" w:cstheme="majorBidi"/>
          <w:b/>
          <w:bCs/>
          <w:color w:val="333333"/>
          <w:sz w:val="28"/>
          <w:szCs w:val="28"/>
        </w:rPr>
        <w:t>ajor adverse cardiovascular events</w:t>
      </w:r>
      <w:r w:rsidR="00204591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6B6483"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B6483" w:rsidRP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in patients with CAD</w:t>
      </w:r>
      <w:r w:rsidR="006B6483" w:rsidRPr="001A0B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B6483" w:rsidRP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added to aspirin therapy</w:t>
      </w:r>
      <w:r w:rsidR="00D6122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(further reading A)</w:t>
      </w:r>
      <w:r w:rsid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0D09EF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6B6483" w:rsidRPr="001A0B94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653A5B" w:rsidRPr="00B418A6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345835" w:rsidRDefault="00653A5B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5835">
        <w:rPr>
          <w:rFonts w:asciiTheme="majorBidi" w:hAnsiTheme="majorBidi" w:cstheme="majorBidi"/>
          <w:b/>
          <w:bCs/>
          <w:color w:val="FF0000"/>
          <w:sz w:val="32"/>
          <w:szCs w:val="32"/>
        </w:rPr>
        <w:t>Angiotensin-Converting Enzyme (ACE) Inhibitors and Angiotensin Receptor Blockers (ARBs)</w:t>
      </w:r>
    </w:p>
    <w:p w:rsidR="00956828" w:rsidRDefault="00956828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ACE inhibitors have not been shown to improve symptomatic</w:t>
      </w:r>
      <w:r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ischemia or reduce chest pain episodes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The ACC/AHA guidelines for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stable IHD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recommend the following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strategies:</w:t>
      </w:r>
    </w:p>
    <w:p w:rsidR="00653A5B" w:rsidRPr="007B6788" w:rsidRDefault="00653A5B" w:rsidP="0092290D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Use ACE inhibitors in patients who also have</w:t>
      </w:r>
      <w:r w:rsidRPr="00956828">
        <w:rPr>
          <w:rFonts w:asciiTheme="majorBidi" w:hAnsiTheme="majorBidi" w:cstheme="majorBidi"/>
          <w:color w:val="333333"/>
          <w:sz w:val="28"/>
          <w:szCs w:val="28"/>
        </w:rPr>
        <w:t xml:space="preserve"> hypertension, diabetes, </w:t>
      </w:r>
      <w:r w:rsidR="0092290D" w:rsidRPr="007B6788">
        <w:rPr>
          <w:rFonts w:asciiTheme="majorBidi" w:hAnsiTheme="majorBidi" w:cstheme="majorBidi"/>
          <w:color w:val="333333"/>
          <w:sz w:val="28"/>
          <w:szCs w:val="28"/>
        </w:rPr>
        <w:t>heart failure with reduced ejection fraction (HFrEF)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>, or chronic kidney disease, unless contraindicated.</w:t>
      </w:r>
    </w:p>
    <w:p w:rsidR="00653A5B" w:rsidRPr="007B6788" w:rsidRDefault="00653A5B" w:rsidP="0095682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ARBs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are recommended for the same populations if patients are </w:t>
      </w:r>
      <w:r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intolerant to ACE inhibitors.</w:t>
      </w:r>
    </w:p>
    <w:p w:rsidR="00653A5B" w:rsidRPr="007B6788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7B6788" w:rsidRDefault="00653A5B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B6788">
        <w:rPr>
          <w:rFonts w:asciiTheme="majorBidi" w:hAnsiTheme="majorBidi" w:cstheme="majorBidi"/>
          <w:b/>
          <w:bCs/>
          <w:color w:val="FF0000"/>
          <w:sz w:val="32"/>
          <w:szCs w:val="32"/>
        </w:rPr>
        <w:t>β-Adrenergic Blockers</w:t>
      </w:r>
    </w:p>
    <w:p w:rsidR="00653A5B" w:rsidRPr="00653A5B" w:rsidRDefault="00956828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β-Blockers competitively inhibit the effects catecholamines on β-adrenoceptors. Blockade of β1-receptors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in the heart reduces HR, contractility, and BP, thereby decreasing </w:t>
      </w:r>
      <w:r w:rsidR="0092290D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 demand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56828" w:rsidRPr="00B418A6" w:rsidRDefault="00956828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56828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β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-Blockers are recommended over calcium channel blockers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(CCBs) for initial control of angina episodes in patients with stable IHD. 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56828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3-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The target is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to lower the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resting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HR to 50</w:t>
      </w:r>
      <w:r w:rsidR="00653A5B" w:rsidRPr="007712FF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60 beats/min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and the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exercise HR to &lt;100 beats/min.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For patients (eg,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elderly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) who cannot tolerate these ranges,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target HR should be as low as can be tolerated above 50 beats/min. 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β-Blockers may be combined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with CCBs or long-acting nitrates when initial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treatment with β-blockers alone is unsuccessful.</w:t>
      </w:r>
    </w:p>
    <w:p w:rsidR="00956828" w:rsidRPr="00B418A6" w:rsidRDefault="00956828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653A5B" w:rsidRDefault="00956828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Only the β-blockers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carvedilol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metoprolol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succinate, and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bisoprolol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should be used in patients with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HFrEF</w:t>
      </w:r>
      <w:r w:rsidR="001A0B94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56828" w:rsidRPr="00B418A6" w:rsidRDefault="00956828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56828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β1-Selective agents are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preferred in patients with chronic obstructive pulmonary disease, peripheral arterial disease (PAD), diabetes, dyslipidemia, and sexual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dysfunction. 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7712FF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Drugs with combined α1- and β-blockade are effective for IHD, but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agents with intrinsic sympathomimetic activity provide little to no</w:t>
      </w:r>
      <w:r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reduction in resting HR and are not preferred except perhaps in patients with PAD or dyslipidemia.</w:t>
      </w:r>
    </w:p>
    <w:p w:rsidR="00956828" w:rsidRPr="00B418A6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7B6788" w:rsidRDefault="001A0B94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8</w:t>
      </w:r>
      <w:r w:rsid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653A5B" w:rsidRPr="00AC0BB5">
        <w:rPr>
          <w:rFonts w:asciiTheme="majorBidi" w:hAnsiTheme="majorBidi" w:cstheme="majorBidi"/>
          <w:b/>
          <w:bCs/>
          <w:color w:val="333333"/>
          <w:sz w:val="28"/>
          <w:szCs w:val="28"/>
        </w:rPr>
        <w:t>If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β-blocker therapy must be discontinued, doses should be tapered over 2</w:t>
      </w:r>
      <w:r w:rsidR="00653A5B" w:rsidRPr="007B678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3 weeks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to prevent abrupt withdrawal, which can significantly increase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2290D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 demand</w:t>
      </w:r>
      <w:r w:rsidR="0092290D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and induce ischemia and even MI because of up-regulation of β-receptors in the myocardium.</w:t>
      </w:r>
    </w:p>
    <w:p w:rsidR="00653A5B" w:rsidRPr="007B6788" w:rsidRDefault="00653A5B" w:rsidP="00653A5B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B6788" w:rsidRDefault="00653A5B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B6788">
        <w:rPr>
          <w:rFonts w:asciiTheme="majorBidi" w:hAnsiTheme="majorBidi" w:cstheme="majorBidi"/>
          <w:b/>
          <w:bCs/>
          <w:color w:val="FF0000"/>
          <w:sz w:val="32"/>
          <w:szCs w:val="32"/>
        </w:rPr>
        <w:t>Calcium Channel Blockers</w:t>
      </w:r>
    </w:p>
    <w:p w:rsidR="00653A5B" w:rsidRPr="00653A5B" w:rsidRDefault="000B478D" w:rsidP="0092290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All CCBs reduce </w:t>
      </w:r>
      <w:r w:rsidR="0092290D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 demand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by reducing wall tension via lowering arterial BP and (to a minor extent) depressing contractility. CCBs also provide some increase in supply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by inducing coronary vasodilation and preventing vasospasm.</w:t>
      </w:r>
      <w:r w:rsidR="0092290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712FF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CCBs or long-acting nitrates should be prescribed for relief of symptoms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β-blockers are contraindicated or cause unacceptable side effects.</w:t>
      </w:r>
    </w:p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0B478D" w:rsidRPr="007712FF" w:rsidRDefault="000B478D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Dihydropyridine CCBs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(eg, nifedipine, amlodipine, isradipine, and felodipine) primarily affect vascular smooth muscle with little effect 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the myocardium. </w:t>
      </w:r>
    </w:p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0B478D" w:rsidRDefault="007712FF" w:rsidP="007712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4-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Short-acting agents should not be</w:t>
      </w:r>
      <w:r w:rsidR="000B478D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used because of their greater propensity to cause reflex tachycardia.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Other side effects of these CCBs include hypotension, headache, gingival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hyperplasia, and peripheral edema. </w:t>
      </w:r>
    </w:p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712FF" w:rsidRDefault="007712FF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Although most CCBs are contraindicated in patients with HFrEF,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amlodipine and felodipine are considered</w:t>
      </w:r>
      <w:r w:rsidR="000B478D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safe options in these patients.</w:t>
      </w:r>
    </w:p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0B478D" w:rsidRDefault="007712FF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Nondihydropyridine CCBs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verapamil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diltiazem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) mostly affect the myocardium with minimal effects on vascular smooth muscle</w:t>
      </w:r>
      <w:r w:rsidR="007B6788" w:rsidRPr="007B6788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1A0B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bookmarkStart w:id="0" w:name="_GoBack"/>
      <w:r w:rsidR="00653A5B" w:rsidRPr="00754746">
        <w:rPr>
          <w:rFonts w:asciiTheme="majorBidi" w:hAnsiTheme="majorBidi" w:cstheme="majorBidi"/>
          <w:color w:val="333333"/>
          <w:sz w:val="28"/>
          <w:szCs w:val="28"/>
        </w:rPr>
        <w:t>These</w:t>
      </w:r>
      <w:r w:rsidR="000B478D" w:rsidRPr="0075474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54746">
        <w:rPr>
          <w:rFonts w:asciiTheme="majorBidi" w:hAnsiTheme="majorBidi" w:cstheme="majorBidi"/>
          <w:color w:val="333333"/>
          <w:sz w:val="28"/>
          <w:szCs w:val="28"/>
        </w:rPr>
        <w:t>agents should be avoided in patients with concomitant HFrEF due to negative inotropic effects.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bookmarkEnd w:id="0"/>
    <w:p w:rsidR="000B478D" w:rsidRPr="00B418A6" w:rsidRDefault="000B478D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653A5B" w:rsidRDefault="007B6788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7712FF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Verapamil may cause constipation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in </w:t>
      </w:r>
      <w:r w:rsidR="00653A5B" w:rsidRPr="007B6788">
        <w:rPr>
          <w:rFonts w:ascii="Cambria Math" w:hAnsi="Cambria Math" w:cs="Cambria Math"/>
          <w:color w:val="333333"/>
          <w:sz w:val="28"/>
          <w:szCs w:val="28"/>
        </w:rPr>
        <w:t>∼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8% of</w:t>
      </w:r>
      <w:r w:rsidR="000B478D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patients. </w:t>
      </w:r>
    </w:p>
    <w:p w:rsidR="002955B7" w:rsidRPr="002955B7" w:rsidRDefault="002955B7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955B7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955B7">
        <w:rPr>
          <w:rFonts w:asciiTheme="majorBidi" w:hAnsiTheme="majorBidi" w:cstheme="majorBidi"/>
          <w:b/>
          <w:bCs/>
          <w:color w:val="FF0000"/>
          <w:sz w:val="32"/>
          <w:szCs w:val="32"/>
          <w:highlight w:val="green"/>
        </w:rPr>
        <w:t>Colchicine (Further reading</w:t>
      </w:r>
      <w:r w:rsidR="00D6122E">
        <w:rPr>
          <w:rFonts w:asciiTheme="majorBidi" w:hAnsiTheme="majorBidi" w:cstheme="majorBidi"/>
          <w:b/>
          <w:bCs/>
          <w:color w:val="FF0000"/>
          <w:sz w:val="32"/>
          <w:szCs w:val="32"/>
          <w:highlight w:val="green"/>
        </w:rPr>
        <w:t xml:space="preserve"> B</w:t>
      </w:r>
      <w:r w:rsidRPr="002955B7">
        <w:rPr>
          <w:rFonts w:asciiTheme="majorBidi" w:hAnsiTheme="majorBidi" w:cstheme="majorBidi"/>
          <w:b/>
          <w:bCs/>
          <w:color w:val="FF0000"/>
          <w:sz w:val="32"/>
          <w:szCs w:val="32"/>
          <w:highlight w:val="green"/>
        </w:rPr>
        <w:t>)</w:t>
      </w:r>
    </w:p>
    <w:p w:rsidR="002955B7" w:rsidRPr="002955B7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53A5B" w:rsidRPr="00345835" w:rsidRDefault="00653A5B" w:rsidP="002955B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5835">
        <w:rPr>
          <w:rFonts w:asciiTheme="majorBidi" w:hAnsiTheme="majorBidi" w:cstheme="majorBidi"/>
          <w:b/>
          <w:bCs/>
          <w:color w:val="FF0000"/>
          <w:sz w:val="32"/>
          <w:szCs w:val="32"/>
        </w:rPr>
        <w:t>Nitrates</w:t>
      </w:r>
    </w:p>
    <w:p w:rsidR="00345835" w:rsidRPr="007B6788" w:rsidRDefault="00345835" w:rsidP="00E31A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Nitrates 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cause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vasodilation.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Most vasodilation occurs on the venous side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, leading to reduced preload, myocardial wall tension, and </w:t>
      </w:r>
      <w:r w:rsidR="00E31AE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 demand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B6788" w:rsidRDefault="007B6788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lastRenderedPageBreak/>
        <w:t>2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All patients should have access to sublingual (SL) NTG tablets or spray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to treat acute angina episodes. Relief typically occurs within 5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minutes of administration.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SL nitrates can also be used to prevent acute episodes if given 2</w:t>
      </w:r>
      <w:r w:rsidR="00653A5B" w:rsidRPr="007B678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5 minutes before activities known to produce angina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; protection can last for up to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30 minutes with SL NTG and up to 1 hour with SL isosorbide dinitrate (ISDN).</w:t>
      </w:r>
    </w:p>
    <w:p w:rsidR="00345835" w:rsidRPr="00B418A6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345835" w:rsidRPr="007B6788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Long-acting nitrates (or CCBs) should be prescribed for relief of symptoms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β-blockers are contraindicated or cause unacceptable side</w:t>
      </w:r>
      <w:r w:rsidR="00345835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effects. 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345835" w:rsidRPr="007B6788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Transdermal patches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isosorbide mononitrate (ISMN)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are most commonly prescribed for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long-term prevention of angina episodes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ISDN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is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also effective, but the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three times daily regimen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requires dosing every 4</w:t>
      </w:r>
      <w:r w:rsidR="00653A5B" w:rsidRPr="007B6788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5 hours during the day to provide a nitrate-free interval. 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B6788" w:rsidRDefault="007B6788" w:rsidP="00E31A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nitrate</w:t>
      </w:r>
      <w:r w:rsidR="00345835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use should incorporate a 10- to 14-hour nitrate-free interval each day to reduce nitrate tolerance.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Because this approach places the patient at risk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for angina episodes, the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nitrate-free interval is usually provided during the nighttime hours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when the patient has a reduced </w:t>
      </w:r>
      <w:r w:rsidR="00E31AE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 demand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while sleeping.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345835" w:rsidRPr="007B6788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extended-release ISMN products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that are dosed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twice daily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should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be given 7 hours apart (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eg, 7:00 AM and 2:00 PM). An extended-release, once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daily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ISMN product is available that provides 12 hours of nitrate exposure followed by a 12-hour nitrate-free interval. </w:t>
      </w:r>
    </w:p>
    <w:p w:rsidR="00345835" w:rsidRPr="007B6788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653A5B" w:rsidRPr="007B6788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956828"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Transdermal NTG patches</w:t>
      </w:r>
      <w:r w:rsidR="00345835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are typically prescribed as </w:t>
      </w:r>
      <w:r w:rsidR="00653A5B" w:rsidRPr="007B6788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on in the AM and off in the PM</w:t>
      </w:r>
      <w:r w:rsidR="00653A5B" w:rsidRPr="007B6788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but patients should be given specific application and removal times (eg, apply at 8:00 AM</w:t>
      </w:r>
    </w:p>
    <w:p w:rsidR="00653A5B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and remove at 8:00 PM).</w:t>
      </w:r>
    </w:p>
    <w:p w:rsidR="00345835" w:rsidRPr="00B418A6" w:rsidRDefault="00345835" w:rsidP="00B418A6">
      <w:pPr>
        <w:autoSpaceDE w:val="0"/>
        <w:autoSpaceDN w:val="0"/>
        <w:bidi w:val="0"/>
        <w:adjustRightInd w:val="0"/>
        <w:spacing w:after="0" w:line="240" w:lineRule="auto"/>
        <w:rPr>
          <w:rFonts w:ascii="f1yb1zkv-jlt-fc6-2o7hq35lb0r68" w:hAnsi="f7we32e-lp9-fpp-2brnezhr04uqt" w:cs="f1yb1zkv-jlt-fc6-2o7hq35lb0r68"/>
          <w:color w:val="333333"/>
          <w:sz w:val="18"/>
          <w:szCs w:val="18"/>
        </w:rPr>
      </w:pPr>
    </w:p>
    <w:p w:rsidR="004F7CDC" w:rsidRDefault="007B6788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95682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Nitrates should not be used routinely as monotherapy for stable IHD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because of the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lack of angina coverage during the nitrate-free interval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, and potential for reflex tachycardia.</w:t>
      </w:r>
    </w:p>
    <w:p w:rsidR="00956828" w:rsidRPr="001A0B94" w:rsidRDefault="00653A5B" w:rsidP="004F7C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653A5B" w:rsidRPr="007B6788" w:rsidRDefault="00956828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7B6788">
        <w:rPr>
          <w:rFonts w:asciiTheme="majorBidi" w:hAnsiTheme="majorBidi" w:cstheme="majorBidi"/>
          <w:color w:val="333333"/>
          <w:sz w:val="28"/>
          <w:szCs w:val="28"/>
        </w:rPr>
        <w:t>0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Concomitant β-blocker or diltiazem therapy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>can prevent rebound ischemia during the nitrate-free interval.</w:t>
      </w:r>
    </w:p>
    <w:p w:rsidR="00956828" w:rsidRPr="007B6788" w:rsidRDefault="00956828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56828" w:rsidRPr="007B6788" w:rsidRDefault="00956828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7B6788">
        <w:rPr>
          <w:rFonts w:asciiTheme="majorBidi" w:hAnsiTheme="majorBidi" w:cstheme="majorBidi"/>
          <w:color w:val="333333"/>
          <w:sz w:val="28"/>
          <w:szCs w:val="28"/>
        </w:rPr>
        <w:t>1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Common nitrate side effects include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headache, flushing, nausea, postural hypotension, and syncope.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Headache can be treated with</w:t>
      </w:r>
      <w:r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acetaminophen</w:t>
      </w:r>
      <w:r w:rsidR="00653A5B" w:rsidRPr="007B6788">
        <w:rPr>
          <w:rFonts w:asciiTheme="majorBidi" w:hAnsiTheme="majorBidi" w:cstheme="majorBidi"/>
          <w:color w:val="333333"/>
          <w:sz w:val="28"/>
          <w:szCs w:val="28"/>
        </w:rPr>
        <w:t xml:space="preserve"> and usually resolves after about 2 weeks of continued therapy. </w:t>
      </w:r>
    </w:p>
    <w:p w:rsidR="00956828" w:rsidRPr="007B6788" w:rsidRDefault="00956828" w:rsidP="0095682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653A5B" w:rsidRDefault="00956828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B6788"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7B6788">
        <w:rPr>
          <w:rFonts w:asciiTheme="majorBidi" w:hAnsiTheme="majorBidi" w:cstheme="majorBidi"/>
          <w:color w:val="333333"/>
          <w:sz w:val="28"/>
          <w:szCs w:val="28"/>
        </w:rPr>
        <w:t>2</w:t>
      </w:r>
      <w:r w:rsidRPr="007B678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7B6788">
        <w:rPr>
          <w:rFonts w:asciiTheme="majorBidi" w:hAnsiTheme="majorBidi" w:cstheme="majorBidi"/>
          <w:b/>
          <w:bCs/>
          <w:color w:val="333333"/>
          <w:sz w:val="28"/>
          <w:szCs w:val="28"/>
        </w:rPr>
        <w:t>Transdermal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NTG may cause skin erythema and inflammation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Initiating therapy with smaller doses and/or rotating the application site can minimize transdermal nitroglycerin side effects.</w:t>
      </w:r>
    </w:p>
    <w:p w:rsidR="00653A5B" w:rsidRPr="00B418A6" w:rsidRDefault="00653A5B" w:rsidP="00B418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345835" w:rsidRDefault="00653A5B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5835">
        <w:rPr>
          <w:rFonts w:asciiTheme="majorBidi" w:hAnsiTheme="majorBidi" w:cstheme="majorBidi"/>
          <w:b/>
          <w:bCs/>
          <w:color w:val="FF0000"/>
          <w:sz w:val="32"/>
          <w:szCs w:val="32"/>
        </w:rPr>
        <w:t>Ranolazine</w:t>
      </w:r>
    </w:p>
    <w:p w:rsidR="000B478D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Ranolazine reduces ischemic episodes by selective inhibition of late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sodium current (INa)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, which reduces intracellular sodium concentration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improves myocardial function and perfusion. </w:t>
      </w:r>
    </w:p>
    <w:p w:rsidR="000B478D" w:rsidRDefault="007712FF" w:rsidP="001A0B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It does not impact HR, BP, the inotropic state, or increase coronary blood flow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Ranolazine is effective as monotherapy for relief of angina symptoms but should only be used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if patients cannot tolerate traditional </w:t>
      </w:r>
      <w:r w:rsidR="002955B7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agents</w:t>
      </w:r>
      <w:r w:rsidR="002955B7" w:rsidRPr="00653A5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B478D" w:rsidRPr="00B418A6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7712FF" w:rsidRDefault="007712FF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Because it does not substantially affect HR and BP, it is recommended as add-on therapy to traditional</w:t>
      </w:r>
      <w:r w:rsidR="000B478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antianginal agents for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who achieve goal HR and BP and still have exertional angina symptoms, patients who cannot achieve these</w:t>
      </w:r>
      <w:r w:rsidR="000B478D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7712FF">
        <w:rPr>
          <w:rFonts w:asciiTheme="majorBidi" w:hAnsiTheme="majorBidi" w:cstheme="majorBidi"/>
          <w:b/>
          <w:bCs/>
          <w:color w:val="333333"/>
          <w:sz w:val="28"/>
          <w:szCs w:val="28"/>
        </w:rPr>
        <w:t>hemodynamic goals due to adverse effects, and patients who reach maximum doses of traditional agents but still have angina symptoms.</w:t>
      </w:r>
    </w:p>
    <w:p w:rsidR="000B478D" w:rsidRPr="00B418A6" w:rsidRDefault="000B478D" w:rsidP="000B478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345835" w:rsidRDefault="00653A5B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345835">
        <w:rPr>
          <w:rFonts w:asciiTheme="majorBidi" w:hAnsiTheme="majorBidi" w:cstheme="majorBidi"/>
          <w:b/>
          <w:bCs/>
          <w:color w:val="3333FF"/>
          <w:sz w:val="32"/>
          <w:szCs w:val="32"/>
        </w:rPr>
        <w:t>Treatment of Variable Threshold Angina and Prinzmetal Angina</w:t>
      </w:r>
    </w:p>
    <w:p w:rsidR="00653A5B" w:rsidRPr="00B418A6" w:rsidRDefault="00345835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Patients with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variable threshold angina require pharmacotherapy for vasospasm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. Most patients respond well to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SL NTG for acute attacks.</w:t>
      </w:r>
    </w:p>
    <w:p w:rsidR="00345835" w:rsidRPr="00B418A6" w:rsidRDefault="00345835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345835" w:rsidRDefault="00345835" w:rsidP="00105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Both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CCBs </w:t>
      </w:r>
      <w:r w:rsidR="00105857">
        <w:rPr>
          <w:rFonts w:asciiTheme="majorBidi" w:hAnsiTheme="majorBidi" w:cstheme="majorBidi"/>
          <w:b/>
          <w:bCs/>
          <w:color w:val="333333"/>
          <w:sz w:val="28"/>
          <w:szCs w:val="28"/>
        </w:rPr>
        <w:t>(</w:t>
      </w:r>
      <w:r w:rsidR="00105857" w:rsidRPr="00653A5B">
        <w:rPr>
          <w:rFonts w:asciiTheme="majorBidi" w:hAnsiTheme="majorBidi" w:cstheme="majorBidi"/>
          <w:color w:val="333333"/>
          <w:sz w:val="28"/>
          <w:szCs w:val="28"/>
        </w:rPr>
        <w:t>Nifedipine, verapamil,</w:t>
      </w:r>
      <w:r w:rsidR="001058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105857" w:rsidRPr="00653A5B">
        <w:rPr>
          <w:rFonts w:asciiTheme="majorBidi" w:hAnsiTheme="majorBidi" w:cstheme="majorBidi"/>
          <w:color w:val="333333"/>
          <w:sz w:val="28"/>
          <w:szCs w:val="28"/>
        </w:rPr>
        <w:t>and diltiazem</w:t>
      </w:r>
      <w:r w:rsidR="00105857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and nitrates are effective for chronic therapy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CCBs may be preferred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because they are dosed less frequently. </w:t>
      </w:r>
    </w:p>
    <w:p w:rsidR="00345835" w:rsidRPr="00B418A6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653A5B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unresponsive to CCBs alone may have nitrates added.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β-Blockers are not useful for vasospasm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because they may induce coronary vasoconstriction and prolong ischemia.</w:t>
      </w:r>
    </w:p>
    <w:p w:rsidR="00653A5B" w:rsidRPr="00B418A6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53A5B" w:rsidRPr="00345835" w:rsidRDefault="00345835" w:rsidP="00C7260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345835">
        <w:rPr>
          <w:rFonts w:asciiTheme="majorBidi" w:hAnsiTheme="majorBidi" w:cstheme="majorBidi"/>
          <w:b/>
          <w:bCs/>
          <w:color w:val="3333FF"/>
          <w:sz w:val="32"/>
          <w:szCs w:val="32"/>
        </w:rPr>
        <w:t>Evaluation</w:t>
      </w: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Pr="00345835">
        <w:rPr>
          <w:rFonts w:asciiTheme="majorBidi" w:hAnsiTheme="majorBidi" w:cstheme="majorBidi"/>
          <w:b/>
          <w:bCs/>
          <w:color w:val="3333FF"/>
          <w:sz w:val="32"/>
          <w:szCs w:val="32"/>
        </w:rPr>
        <w:t>of therapeutic outcomes</w:t>
      </w:r>
    </w:p>
    <w:p w:rsidR="00653A5B" w:rsidRPr="00653A5B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Assess for symptom improvement by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number of angina episodes, weekly SL NTG use, and increased exercise capacity or duration of exertion</w:t>
      </w:r>
      <w:r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needed to induce angina.</w:t>
      </w:r>
    </w:p>
    <w:p w:rsidR="00345835" w:rsidRPr="00B418A6" w:rsidRDefault="00345835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653A5B" w:rsidRPr="00B418A6" w:rsidRDefault="007B6788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34583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patients have been optimized on medical therapy, symptoms should improve over 2</w:t>
      </w:r>
      <w:r w:rsidR="00653A5B" w:rsidRPr="00B418A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4 weeks and remain stable until the disease</w:t>
      </w:r>
      <w:r w:rsidR="00345835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progresses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. Patients may require evaluation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every 1</w:t>
      </w:r>
      <w:r w:rsidR="00653A5B" w:rsidRPr="00B418A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2 months until target endpoints are achieved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; follow-up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every 6</w:t>
      </w:r>
      <w:r w:rsidR="00653A5B" w:rsidRPr="00B418A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12 months thereafter is</w:t>
      </w:r>
      <w:r w:rsidR="00345835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appropriate.</w:t>
      </w:r>
    </w:p>
    <w:p w:rsidR="00345835" w:rsidRPr="00B418A6" w:rsidRDefault="00345835" w:rsidP="003458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653A5B" w:rsidRPr="00653A5B" w:rsidRDefault="001A0B94" w:rsidP="007B67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34583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653A5B" w:rsidRPr="00B418A6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 for adverse drug effects such as headache and dizziness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 xml:space="preserve"> with nitrates; fatigue and lassitude with β-blockers; and peripheral edema,</w:t>
      </w:r>
      <w:r w:rsidR="0034583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3A5B" w:rsidRPr="00653A5B">
        <w:rPr>
          <w:rFonts w:asciiTheme="majorBidi" w:hAnsiTheme="majorBidi" w:cstheme="majorBidi"/>
          <w:color w:val="333333"/>
          <w:sz w:val="28"/>
          <w:szCs w:val="28"/>
        </w:rPr>
        <w:t>constipation, and dizziness with CCBs.</w:t>
      </w:r>
    </w:p>
    <w:p w:rsidR="00653A5B" w:rsidRPr="00B418A6" w:rsidRDefault="00653A5B" w:rsidP="00653A5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2955B7" w:rsidRDefault="002955B7" w:rsidP="00602D2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  <w:r w:rsidRPr="002955B7">
        <w:rPr>
          <w:rFonts w:asciiTheme="majorBidi" w:hAnsiTheme="majorBidi" w:cstheme="majorBidi"/>
          <w:b/>
          <w:bCs/>
          <w:color w:val="333333"/>
          <w:sz w:val="24"/>
          <w:szCs w:val="24"/>
        </w:rPr>
        <w:t>1-</w:t>
      </w:r>
      <w:r w:rsidR="00602D23" w:rsidRPr="002955B7">
        <w:rPr>
          <w:rFonts w:asciiTheme="majorBidi" w:hAnsiTheme="majorBidi" w:cstheme="majorBidi"/>
          <w:b/>
          <w:bCs/>
          <w:color w:val="333333"/>
          <w:sz w:val="24"/>
          <w:szCs w:val="24"/>
        </w:rPr>
        <w:t>Joseph T. DiPiro, Robert L. Pharmacotherapy: A Pathophysiologic Approach, 12</w:t>
      </w:r>
      <w:r w:rsidR="00602D23" w:rsidRPr="002955B7">
        <w:rPr>
          <w:rFonts w:asciiTheme="majorBidi" w:hAnsiTheme="majorBidi" w:cstheme="majorBidi"/>
          <w:b/>
          <w:bCs/>
          <w:color w:val="333333"/>
          <w:sz w:val="24"/>
          <w:szCs w:val="24"/>
          <w:vertAlign w:val="superscript"/>
        </w:rPr>
        <w:t>th</w:t>
      </w:r>
      <w:r w:rsidR="00602D23" w:rsidRPr="002955B7">
        <w:rPr>
          <w:rFonts w:asciiTheme="majorBidi" w:hAnsiTheme="majorBidi" w:cstheme="majorBidi"/>
          <w:b/>
          <w:bCs/>
          <w:color w:val="333333"/>
          <w:sz w:val="24"/>
          <w:szCs w:val="24"/>
        </w:rPr>
        <w:t xml:space="preserve"> Edition. 2023.</w:t>
      </w:r>
    </w:p>
    <w:p w:rsidR="002955B7" w:rsidRPr="002955B7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n-GB" w:eastAsia="en-GB"/>
        </w:rPr>
      </w:pPr>
      <w:r w:rsidRPr="002955B7">
        <w:rPr>
          <w:rFonts w:asciiTheme="majorBidi" w:hAnsiTheme="majorBidi" w:cstheme="majorBidi"/>
          <w:b/>
          <w:bCs/>
          <w:color w:val="333333"/>
          <w:sz w:val="24"/>
          <w:szCs w:val="24"/>
        </w:rPr>
        <w:t xml:space="preserve">2-Virani SS, Newby LK, Arnold SV, Bittner V, Brewer LC, Demeter SH, et al. 2023 AHA/ACC/ACCP/ASPC/NLA/PCNA guideline for the management of patients with chronic coronary disease: A report of the American Heart Association/American College of Cardiology Joint Committee on clinical practice guidelines. Circulation. 2023 Jul 20;148(9). </w:t>
      </w:r>
    </w:p>
    <w:p w:rsidR="002955B7" w:rsidRPr="00D6122E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2955B7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2955B7">
        <w:rPr>
          <w:rFonts w:asciiTheme="majorBidi" w:hAnsiTheme="majorBidi" w:cstheme="majorBidi"/>
          <w:b/>
          <w:bCs/>
          <w:color w:val="0000FF"/>
          <w:sz w:val="28"/>
          <w:szCs w:val="28"/>
        </w:rPr>
        <w:t>Further reading</w:t>
      </w:r>
    </w:p>
    <w:p w:rsidR="00D6122E" w:rsidRPr="00D6122E" w:rsidRDefault="00D6122E" w:rsidP="00D6122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A-A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ddition of 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low-dose rivaroxaban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>2.5 mg twice daily to aspirin 81 mg daily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D6122E" w:rsidRDefault="00D6122E" w:rsidP="00D61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6122E">
        <w:rPr>
          <w:rFonts w:asciiTheme="majorBidi" w:hAnsiTheme="majorBidi" w:cstheme="majorBidi"/>
          <w:b/>
          <w:bCs/>
          <w:color w:val="333333"/>
          <w:sz w:val="28"/>
          <w:szCs w:val="28"/>
        </w:rPr>
        <w:t>B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Colchicine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:</w:t>
      </w:r>
    </w:p>
    <w:p w:rsidR="002955B7" w:rsidRPr="000D09EF" w:rsidRDefault="002955B7" w:rsidP="00D61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D09EF"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Inflammation is a key component in the development of atherosclerosis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. As a result, using select anti-inflammatory agents may have a role in improving cardiovascular outcomes </w:t>
      </w:r>
      <w:r w:rsidRPr="000D09EF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955B7" w:rsidRPr="000D09EF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55B7" w:rsidRPr="000D09EF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D09EF"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Colchicine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 exhibits 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anti-inflammatory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 properties </w:t>
      </w:r>
      <w:r w:rsidRPr="000D09EF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955B7" w:rsidRPr="000D09EF" w:rsidRDefault="002955B7" w:rsidP="002955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55B7" w:rsidRPr="002955B7" w:rsidRDefault="002955B7" w:rsidP="00D6122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3-In patients with 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coronary disease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 (CCD), 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the addition of low dose colchicine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 (0.5 mg daily) for secondary prevention may be considered to </w:t>
      </w:r>
      <w:r w:rsidRPr="000D09EF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 recurrent atherosclerotic cardiovascular disease (ASCVD) events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 xml:space="preserve"> (myocardial infarction (MI), stroke, coronary revascularization, and cardiovascular death) </w:t>
      </w:r>
      <w:r w:rsidRPr="000D09EF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Pr="000D09EF">
        <w:rPr>
          <w:rFonts w:asciiTheme="majorBidi" w:hAnsiTheme="majorBidi" w:cstheme="majorBidi"/>
          <w:color w:val="333333"/>
          <w:sz w:val="28"/>
          <w:szCs w:val="28"/>
        </w:rPr>
        <w:t>.</w:t>
      </w:r>
    </w:p>
    <w:sectPr w:rsidR="002955B7" w:rsidRPr="002955B7" w:rsidSect="0045125D">
      <w:footerReference w:type="default" r:id="rId8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42D" w:rsidRDefault="0066742D" w:rsidP="009C79FE">
      <w:pPr>
        <w:spacing w:after="0" w:line="240" w:lineRule="auto"/>
      </w:pPr>
      <w:r>
        <w:separator/>
      </w:r>
    </w:p>
  </w:endnote>
  <w:endnote w:type="continuationSeparator" w:id="0">
    <w:p w:rsidR="0066742D" w:rsidRDefault="0066742D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yb1zkv-jlt-fc6-2o7hq35lb0r68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7we32e-lp9-fpp-2brnezhr04uq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597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42D" w:rsidRDefault="0066742D" w:rsidP="009C79FE">
      <w:pPr>
        <w:spacing w:after="0" w:line="240" w:lineRule="auto"/>
      </w:pPr>
      <w:r>
        <w:separator/>
      </w:r>
    </w:p>
  </w:footnote>
  <w:footnote w:type="continuationSeparator" w:id="0">
    <w:p w:rsidR="0066742D" w:rsidRDefault="0066742D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61996"/>
    <w:multiLevelType w:val="hybridMultilevel"/>
    <w:tmpl w:val="4D2C216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E7DA1"/>
    <w:multiLevelType w:val="hybridMultilevel"/>
    <w:tmpl w:val="AB0EAFE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6D60"/>
    <w:multiLevelType w:val="hybridMultilevel"/>
    <w:tmpl w:val="993C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42FEF"/>
    <w:rsid w:val="0004781D"/>
    <w:rsid w:val="00067E68"/>
    <w:rsid w:val="000746CE"/>
    <w:rsid w:val="00085EC1"/>
    <w:rsid w:val="000A39DD"/>
    <w:rsid w:val="000B478D"/>
    <w:rsid w:val="000D09EF"/>
    <w:rsid w:val="000D6AAF"/>
    <w:rsid w:val="000D7AD1"/>
    <w:rsid w:val="000F5D8E"/>
    <w:rsid w:val="00105857"/>
    <w:rsid w:val="00126BAA"/>
    <w:rsid w:val="001369C1"/>
    <w:rsid w:val="001467B2"/>
    <w:rsid w:val="0018108D"/>
    <w:rsid w:val="001835C9"/>
    <w:rsid w:val="001A0B94"/>
    <w:rsid w:val="001A0CEA"/>
    <w:rsid w:val="001A4491"/>
    <w:rsid w:val="001C7900"/>
    <w:rsid w:val="001E6AD2"/>
    <w:rsid w:val="001F3F9F"/>
    <w:rsid w:val="00202D23"/>
    <w:rsid w:val="00204591"/>
    <w:rsid w:val="0023109D"/>
    <w:rsid w:val="00240FC2"/>
    <w:rsid w:val="00293D7B"/>
    <w:rsid w:val="002955B7"/>
    <w:rsid w:val="002A56DF"/>
    <w:rsid w:val="002B38B8"/>
    <w:rsid w:val="002F42C5"/>
    <w:rsid w:val="003078D7"/>
    <w:rsid w:val="00307E17"/>
    <w:rsid w:val="00324617"/>
    <w:rsid w:val="00324E72"/>
    <w:rsid w:val="003303BF"/>
    <w:rsid w:val="003310D9"/>
    <w:rsid w:val="00337A94"/>
    <w:rsid w:val="00345835"/>
    <w:rsid w:val="00347D77"/>
    <w:rsid w:val="00394517"/>
    <w:rsid w:val="003C1E95"/>
    <w:rsid w:val="003D563D"/>
    <w:rsid w:val="003D71EF"/>
    <w:rsid w:val="003F1330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5071B"/>
    <w:rsid w:val="0045125D"/>
    <w:rsid w:val="004722A3"/>
    <w:rsid w:val="004752B9"/>
    <w:rsid w:val="0048401C"/>
    <w:rsid w:val="00487060"/>
    <w:rsid w:val="00497B83"/>
    <w:rsid w:val="004A73A6"/>
    <w:rsid w:val="004B2945"/>
    <w:rsid w:val="004B6F1E"/>
    <w:rsid w:val="004E1DCC"/>
    <w:rsid w:val="004F7CDC"/>
    <w:rsid w:val="00516926"/>
    <w:rsid w:val="00517BDE"/>
    <w:rsid w:val="005627C5"/>
    <w:rsid w:val="00583888"/>
    <w:rsid w:val="005C3F80"/>
    <w:rsid w:val="005D1A07"/>
    <w:rsid w:val="005D3E7B"/>
    <w:rsid w:val="00602D23"/>
    <w:rsid w:val="0063410E"/>
    <w:rsid w:val="00644C02"/>
    <w:rsid w:val="0065062A"/>
    <w:rsid w:val="00653546"/>
    <w:rsid w:val="00653A5B"/>
    <w:rsid w:val="00655FED"/>
    <w:rsid w:val="00660CED"/>
    <w:rsid w:val="0066742D"/>
    <w:rsid w:val="006820F7"/>
    <w:rsid w:val="00690A20"/>
    <w:rsid w:val="006A26C3"/>
    <w:rsid w:val="006A62B0"/>
    <w:rsid w:val="006B6483"/>
    <w:rsid w:val="006D0591"/>
    <w:rsid w:val="006F3597"/>
    <w:rsid w:val="00701BAE"/>
    <w:rsid w:val="00702A0C"/>
    <w:rsid w:val="00721505"/>
    <w:rsid w:val="007404A7"/>
    <w:rsid w:val="00741490"/>
    <w:rsid w:val="00747F03"/>
    <w:rsid w:val="00754746"/>
    <w:rsid w:val="00761A5B"/>
    <w:rsid w:val="007621C3"/>
    <w:rsid w:val="007635D6"/>
    <w:rsid w:val="007712FF"/>
    <w:rsid w:val="00773A31"/>
    <w:rsid w:val="007A0A8A"/>
    <w:rsid w:val="007A4153"/>
    <w:rsid w:val="007B6004"/>
    <w:rsid w:val="007B6788"/>
    <w:rsid w:val="007E68A8"/>
    <w:rsid w:val="007F19A1"/>
    <w:rsid w:val="00804049"/>
    <w:rsid w:val="00804825"/>
    <w:rsid w:val="00854826"/>
    <w:rsid w:val="008A5F97"/>
    <w:rsid w:val="008B4BC1"/>
    <w:rsid w:val="008D2536"/>
    <w:rsid w:val="008D5E15"/>
    <w:rsid w:val="008D7966"/>
    <w:rsid w:val="008E28D7"/>
    <w:rsid w:val="0092290D"/>
    <w:rsid w:val="00926008"/>
    <w:rsid w:val="009268CD"/>
    <w:rsid w:val="00956828"/>
    <w:rsid w:val="009608D6"/>
    <w:rsid w:val="00965F9C"/>
    <w:rsid w:val="00987645"/>
    <w:rsid w:val="009B0D47"/>
    <w:rsid w:val="009B224B"/>
    <w:rsid w:val="009C4D71"/>
    <w:rsid w:val="009C79FE"/>
    <w:rsid w:val="009D31BD"/>
    <w:rsid w:val="009E60CC"/>
    <w:rsid w:val="00A07CCC"/>
    <w:rsid w:val="00A26085"/>
    <w:rsid w:val="00A4401F"/>
    <w:rsid w:val="00A5155A"/>
    <w:rsid w:val="00A532FE"/>
    <w:rsid w:val="00A7600B"/>
    <w:rsid w:val="00A8009A"/>
    <w:rsid w:val="00A83FB6"/>
    <w:rsid w:val="00A966DA"/>
    <w:rsid w:val="00A969AE"/>
    <w:rsid w:val="00AB66BE"/>
    <w:rsid w:val="00AC0BB5"/>
    <w:rsid w:val="00AD10F0"/>
    <w:rsid w:val="00AD3BD4"/>
    <w:rsid w:val="00AD761C"/>
    <w:rsid w:val="00AE1E84"/>
    <w:rsid w:val="00AE5C7D"/>
    <w:rsid w:val="00AF2C7E"/>
    <w:rsid w:val="00AF560B"/>
    <w:rsid w:val="00B17CB0"/>
    <w:rsid w:val="00B279A6"/>
    <w:rsid w:val="00B418A6"/>
    <w:rsid w:val="00B503F7"/>
    <w:rsid w:val="00B527DA"/>
    <w:rsid w:val="00B65E48"/>
    <w:rsid w:val="00B75789"/>
    <w:rsid w:val="00B834B0"/>
    <w:rsid w:val="00B94318"/>
    <w:rsid w:val="00BD69C4"/>
    <w:rsid w:val="00BE6797"/>
    <w:rsid w:val="00BF062B"/>
    <w:rsid w:val="00C2374F"/>
    <w:rsid w:val="00C3347D"/>
    <w:rsid w:val="00C33EF6"/>
    <w:rsid w:val="00C35779"/>
    <w:rsid w:val="00C67677"/>
    <w:rsid w:val="00C72604"/>
    <w:rsid w:val="00C75F21"/>
    <w:rsid w:val="00C81456"/>
    <w:rsid w:val="00C912D4"/>
    <w:rsid w:val="00CB0602"/>
    <w:rsid w:val="00CD0420"/>
    <w:rsid w:val="00D06001"/>
    <w:rsid w:val="00D06DBA"/>
    <w:rsid w:val="00D16FD5"/>
    <w:rsid w:val="00D35FDB"/>
    <w:rsid w:val="00D4331A"/>
    <w:rsid w:val="00D6122E"/>
    <w:rsid w:val="00D75141"/>
    <w:rsid w:val="00D85713"/>
    <w:rsid w:val="00DA6BB8"/>
    <w:rsid w:val="00DD24DE"/>
    <w:rsid w:val="00DD3B5C"/>
    <w:rsid w:val="00DD3E17"/>
    <w:rsid w:val="00DD4C24"/>
    <w:rsid w:val="00E0566E"/>
    <w:rsid w:val="00E05705"/>
    <w:rsid w:val="00E26382"/>
    <w:rsid w:val="00E31AEB"/>
    <w:rsid w:val="00E407F9"/>
    <w:rsid w:val="00E54473"/>
    <w:rsid w:val="00E67F14"/>
    <w:rsid w:val="00E7219D"/>
    <w:rsid w:val="00E90342"/>
    <w:rsid w:val="00EA27D9"/>
    <w:rsid w:val="00EA3500"/>
    <w:rsid w:val="00EB0B76"/>
    <w:rsid w:val="00EB1305"/>
    <w:rsid w:val="00EF71B5"/>
    <w:rsid w:val="00F00195"/>
    <w:rsid w:val="00F0769C"/>
    <w:rsid w:val="00F27D50"/>
    <w:rsid w:val="00F51847"/>
    <w:rsid w:val="00F6798A"/>
    <w:rsid w:val="00F73EC3"/>
    <w:rsid w:val="00F8579A"/>
    <w:rsid w:val="00FA2811"/>
    <w:rsid w:val="00FC7499"/>
    <w:rsid w:val="00FD09C5"/>
    <w:rsid w:val="00F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8F39"/>
  <w15:docId w15:val="{B496E75D-C646-4CA4-8B22-8671ECE3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882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78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EFFD1-0B75-421D-B768-C79AD20A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72</cp:revision>
  <cp:lastPrinted>2023-02-17T18:03:00Z</cp:lastPrinted>
  <dcterms:created xsi:type="dcterms:W3CDTF">2020-05-04T12:27:00Z</dcterms:created>
  <dcterms:modified xsi:type="dcterms:W3CDTF">2023-12-13T19:45:00Z</dcterms:modified>
</cp:coreProperties>
</file>