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66E" w:rsidRPr="0045125D" w:rsidRDefault="0045125D" w:rsidP="00EB2595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rtl/>
          <w:lang w:bidi="ar-IQ"/>
        </w:rPr>
      </w:pPr>
      <w:r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  </w:t>
      </w:r>
      <w:r w:rsidR="00E0566E" w:rsidRPr="0045125D">
        <w:rPr>
          <w:rFonts w:asciiTheme="majorBidi" w:eastAsia="Times New Roman" w:hAnsiTheme="majorBidi" w:cstheme="majorBidi"/>
          <w:b/>
          <w:bCs/>
          <w:sz w:val="28"/>
          <w:szCs w:val="28"/>
        </w:rPr>
        <w:t>College of Pharmacy</w:t>
      </w:r>
    </w:p>
    <w:p w:rsidR="00E0566E" w:rsidRPr="0045125D" w:rsidRDefault="0045125D" w:rsidP="00EB2595">
      <w:pPr>
        <w:bidi w:val="0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4F81BD"/>
          <w:sz w:val="28"/>
          <w:szCs w:val="28"/>
        </w:rPr>
      </w:pPr>
      <w:r>
        <w:rPr>
          <w:rFonts w:asciiTheme="majorBidi" w:eastAsia="Times New Roman" w:hAnsiTheme="majorBidi" w:cstheme="majorBidi"/>
          <w:b/>
          <w:bCs/>
          <w:sz w:val="28"/>
          <w:szCs w:val="28"/>
          <w:lang w:bidi="ar-SY"/>
        </w:rPr>
        <w:t xml:space="preserve"> </w:t>
      </w:r>
      <w:r w:rsidR="00E0566E" w:rsidRPr="0045125D">
        <w:rPr>
          <w:rFonts w:asciiTheme="majorBidi" w:eastAsia="Times New Roman" w:hAnsiTheme="majorBidi" w:cstheme="majorBidi"/>
          <w:b/>
          <w:bCs/>
          <w:sz w:val="28"/>
          <w:szCs w:val="28"/>
          <w:lang w:bidi="ar-SY"/>
        </w:rPr>
        <w:t>Fourth year. Clinical Pharmacy</w:t>
      </w:r>
    </w:p>
    <w:p w:rsidR="007F3E39" w:rsidRPr="0045125D" w:rsidRDefault="0045125D" w:rsidP="007F3E39">
      <w:pPr>
        <w:bidi w:val="0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</w:pPr>
      <w:r>
        <w:rPr>
          <w:rFonts w:asciiTheme="majorBidi" w:eastAsia="Times New Roman" w:hAnsiTheme="majorBidi" w:cstheme="majorBidi"/>
          <w:b/>
          <w:bCs/>
          <w:color w:val="0000FF"/>
          <w:sz w:val="28"/>
          <w:szCs w:val="28"/>
        </w:rPr>
        <w:t xml:space="preserve">   </w:t>
      </w:r>
      <w:r w:rsidR="007F3E39" w:rsidRPr="00E45D3F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  <w:t>Rheumatologic Disorders</w:t>
      </w:r>
    </w:p>
    <w:p w:rsidR="00E0566E" w:rsidRPr="0045125D" w:rsidRDefault="007F3E39" w:rsidP="007F3E39">
      <w:pPr>
        <w:bidi w:val="0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FF"/>
          <w:sz w:val="28"/>
          <w:szCs w:val="28"/>
          <w:rtl/>
          <w:lang w:bidi="ar-IQ"/>
        </w:rPr>
      </w:pPr>
      <w:r w:rsidRPr="006F6B9B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    Osteo</w:t>
      </w:r>
      <w:r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>porosis</w:t>
      </w:r>
      <w:r w:rsidRPr="006F6B9B">
        <w:rPr>
          <w:rFonts w:asciiTheme="majorBidi" w:eastAsia="Times New Roman" w:hAnsiTheme="majorBidi" w:cstheme="majorBidi" w:hint="cs"/>
          <w:b/>
          <w:bCs/>
          <w:color w:val="0000FF"/>
          <w:sz w:val="32"/>
          <w:szCs w:val="32"/>
          <w:rtl/>
          <w:lang w:bidi="ar-IQ"/>
        </w:rPr>
        <w:t xml:space="preserve">   </w:t>
      </w:r>
      <w:r w:rsidR="0045125D">
        <w:rPr>
          <w:rFonts w:asciiTheme="majorBidi" w:eastAsia="Times New Roman" w:hAnsiTheme="majorBidi" w:cstheme="majorBidi" w:hint="cs"/>
          <w:b/>
          <w:bCs/>
          <w:color w:val="0000FF"/>
          <w:sz w:val="28"/>
          <w:szCs w:val="28"/>
          <w:rtl/>
          <w:lang w:bidi="ar-IQ"/>
        </w:rPr>
        <w:t xml:space="preserve">   </w:t>
      </w:r>
    </w:p>
    <w:p w:rsidR="0045125D" w:rsidRPr="000746CE" w:rsidRDefault="0045125D" w:rsidP="009E4FFB">
      <w:pPr>
        <w:autoSpaceDE w:val="0"/>
        <w:autoSpaceDN w:val="0"/>
        <w:bidi w:val="0"/>
        <w:adjustRightInd w:val="0"/>
        <w:spacing w:after="0" w:line="240" w:lineRule="auto"/>
        <w:jc w:val="both"/>
        <w:outlineLvl w:val="0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0746CE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Introduction </w:t>
      </w:r>
    </w:p>
    <w:p w:rsidR="008D5E15" w:rsidRPr="00677897" w:rsidRDefault="00A542DD" w:rsidP="0067789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3E24EA">
        <w:rPr>
          <w:rFonts w:asciiTheme="majorBidi" w:hAnsiTheme="majorBidi" w:cstheme="majorBidi"/>
          <w:b/>
          <w:bCs/>
          <w:color w:val="333333"/>
          <w:sz w:val="28"/>
          <w:szCs w:val="28"/>
        </w:rPr>
        <w:t>Osteoporosis</w:t>
      </w:r>
      <w:r w:rsidRPr="00677897">
        <w:rPr>
          <w:rFonts w:asciiTheme="majorBidi" w:hAnsiTheme="majorBidi" w:cstheme="majorBidi"/>
          <w:color w:val="333333"/>
          <w:sz w:val="28"/>
          <w:szCs w:val="28"/>
        </w:rPr>
        <w:t xml:space="preserve"> is a bone disorder characterized </w:t>
      </w:r>
      <w:r w:rsidRPr="003E24EA">
        <w:rPr>
          <w:rFonts w:asciiTheme="majorBidi" w:hAnsiTheme="majorBidi" w:cstheme="majorBidi"/>
          <w:b/>
          <w:bCs/>
          <w:color w:val="333333"/>
          <w:sz w:val="28"/>
          <w:szCs w:val="28"/>
        </w:rPr>
        <w:t>by low bone density</w:t>
      </w:r>
      <w:r w:rsidRPr="00677897">
        <w:rPr>
          <w:rFonts w:asciiTheme="majorBidi" w:hAnsiTheme="majorBidi" w:cstheme="majorBidi"/>
          <w:color w:val="333333"/>
          <w:sz w:val="28"/>
          <w:szCs w:val="28"/>
        </w:rPr>
        <w:t xml:space="preserve">, </w:t>
      </w:r>
      <w:r w:rsidRPr="003E24EA">
        <w:rPr>
          <w:rFonts w:asciiTheme="majorBidi" w:hAnsiTheme="majorBidi" w:cstheme="majorBidi"/>
          <w:b/>
          <w:bCs/>
          <w:color w:val="333333"/>
          <w:sz w:val="28"/>
          <w:szCs w:val="28"/>
        </w:rPr>
        <w:t>impaired bone architecture</w:t>
      </w:r>
      <w:r w:rsidRPr="00677897">
        <w:rPr>
          <w:rFonts w:asciiTheme="majorBidi" w:hAnsiTheme="majorBidi" w:cstheme="majorBidi"/>
          <w:color w:val="333333"/>
          <w:sz w:val="28"/>
          <w:szCs w:val="28"/>
        </w:rPr>
        <w:t xml:space="preserve">, and </w:t>
      </w:r>
      <w:r w:rsidRPr="003E24EA">
        <w:rPr>
          <w:rFonts w:asciiTheme="majorBidi" w:hAnsiTheme="majorBidi" w:cstheme="majorBidi"/>
          <w:b/>
          <w:bCs/>
          <w:color w:val="333333"/>
          <w:sz w:val="28"/>
          <w:szCs w:val="28"/>
        </w:rPr>
        <w:t>compromised bone strength</w:t>
      </w:r>
      <w:r w:rsidRPr="00677897">
        <w:rPr>
          <w:rFonts w:asciiTheme="majorBidi" w:hAnsiTheme="majorBidi" w:cstheme="majorBidi"/>
          <w:color w:val="333333"/>
          <w:sz w:val="28"/>
          <w:szCs w:val="28"/>
        </w:rPr>
        <w:t xml:space="preserve"> predisposing to </w:t>
      </w:r>
      <w:r w:rsidRPr="003E24EA">
        <w:rPr>
          <w:rFonts w:asciiTheme="majorBidi" w:hAnsiTheme="majorBidi" w:cstheme="majorBidi"/>
          <w:b/>
          <w:bCs/>
          <w:color w:val="333333"/>
          <w:sz w:val="28"/>
          <w:szCs w:val="28"/>
        </w:rPr>
        <w:t>fracture</w:t>
      </w:r>
      <w:r w:rsidRPr="00677897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B53665" w:rsidRPr="0028121D" w:rsidRDefault="00B53665" w:rsidP="00405882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B53665" w:rsidRDefault="000746CE" w:rsidP="009E4FFB">
      <w:pPr>
        <w:autoSpaceDE w:val="0"/>
        <w:autoSpaceDN w:val="0"/>
        <w:bidi w:val="0"/>
        <w:adjustRightInd w:val="0"/>
        <w:spacing w:after="0" w:line="240" w:lineRule="auto"/>
        <w:jc w:val="both"/>
        <w:outlineLvl w:val="0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0746CE">
        <w:rPr>
          <w:rFonts w:asciiTheme="majorBidi" w:hAnsiTheme="majorBidi" w:cstheme="majorBidi"/>
          <w:b/>
          <w:bCs/>
          <w:color w:val="FF0000"/>
          <w:sz w:val="32"/>
          <w:szCs w:val="32"/>
        </w:rPr>
        <w:t>Pathophysiology</w:t>
      </w:r>
    </w:p>
    <w:p w:rsidR="00B53665" w:rsidRDefault="003E24EA" w:rsidP="003E24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Bone loss occurs </w:t>
      </w:r>
      <w:r w:rsidR="00B53665" w:rsidRPr="007E1A86">
        <w:rPr>
          <w:rFonts w:asciiTheme="majorBidi" w:hAnsiTheme="majorBidi" w:cstheme="majorBidi"/>
          <w:b/>
          <w:bCs/>
          <w:color w:val="333333"/>
          <w:sz w:val="28"/>
          <w:szCs w:val="28"/>
        </w:rPr>
        <w:t>when resorption exceeds formation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(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>when the bone resorption greatly</w:t>
      </w:r>
      <w:r w:rsidR="00B53665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>exceeds the ability of osteoblasts to form new bone</w:t>
      </w:r>
      <w:r>
        <w:rPr>
          <w:rFonts w:asciiTheme="majorBidi" w:hAnsiTheme="majorBidi" w:cstheme="majorBidi"/>
          <w:color w:val="333333"/>
          <w:sz w:val="28"/>
          <w:szCs w:val="28"/>
        </w:rPr>
        <w:t>)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. </w:t>
      </w:r>
    </w:p>
    <w:p w:rsidR="00B53665" w:rsidRPr="0028121D" w:rsidRDefault="00B53665" w:rsidP="00B5366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A3454C" w:rsidRDefault="003E24EA" w:rsidP="00A3454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2-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Men and women begin to lose bone mass </w:t>
      </w:r>
      <w:r w:rsidR="00B53665" w:rsidRPr="007E1A86">
        <w:rPr>
          <w:rFonts w:asciiTheme="majorBidi" w:hAnsiTheme="majorBidi" w:cstheme="majorBidi"/>
          <w:b/>
          <w:bCs/>
          <w:color w:val="333333"/>
          <w:sz w:val="28"/>
          <w:szCs w:val="28"/>
        </w:rPr>
        <w:t>starting in the third or fourth decade because of reduced bone formation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. </w:t>
      </w:r>
      <w:r w:rsidR="00B53665" w:rsidRPr="007E1A86">
        <w:rPr>
          <w:rFonts w:asciiTheme="majorBidi" w:hAnsiTheme="majorBidi" w:cstheme="majorBidi"/>
          <w:b/>
          <w:bCs/>
          <w:color w:val="333333"/>
          <w:sz w:val="28"/>
          <w:szCs w:val="28"/>
        </w:rPr>
        <w:t>Estrogen deficiency during</w:t>
      </w:r>
      <w:r w:rsidR="00A3454C" w:rsidRPr="007E1A86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B53665" w:rsidRPr="007E1A86">
        <w:rPr>
          <w:rFonts w:asciiTheme="majorBidi" w:hAnsiTheme="majorBidi" w:cstheme="majorBidi"/>
          <w:b/>
          <w:bCs/>
          <w:color w:val="333333"/>
          <w:sz w:val="28"/>
          <w:szCs w:val="28"/>
        </w:rPr>
        <w:t>menopause increases osteoclast activity,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 increasing bone resorption more than formation. </w:t>
      </w:r>
    </w:p>
    <w:p w:rsidR="00A3454C" w:rsidRPr="0028121D" w:rsidRDefault="00A3454C" w:rsidP="00A3454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B53665" w:rsidRPr="00B53665" w:rsidRDefault="003E24EA" w:rsidP="005A3CE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3-</w:t>
      </w:r>
      <w:r w:rsidR="00B53665" w:rsidRPr="007E1A86">
        <w:rPr>
          <w:rFonts w:asciiTheme="majorBidi" w:hAnsiTheme="majorBidi" w:cstheme="majorBidi"/>
          <w:b/>
          <w:bCs/>
          <w:color w:val="333333"/>
          <w:sz w:val="28"/>
          <w:szCs w:val="28"/>
        </w:rPr>
        <w:t>Men are at a lower risk for developing osteoporosis</w:t>
      </w:r>
      <w:r w:rsidR="006A158E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6A158E" w:rsidRPr="00780FB4">
        <w:rPr>
          <w:rFonts w:asciiTheme="majorBidi" w:hAnsiTheme="majorBidi" w:cstheme="majorBidi"/>
          <w:color w:val="333333"/>
          <w:sz w:val="28"/>
          <w:szCs w:val="28"/>
        </w:rPr>
        <w:t>and osteoporotic fractures</w:t>
      </w:r>
      <w:r w:rsidR="005A3CE7">
        <w:rPr>
          <w:rFonts w:asciiTheme="majorBidi" w:hAnsiTheme="majorBidi" w:cstheme="majorBidi"/>
          <w:color w:val="333333"/>
          <w:sz w:val="28"/>
          <w:szCs w:val="28"/>
        </w:rPr>
        <w:t>.</w:t>
      </w:r>
      <w:r w:rsidR="00A3454C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>Male osteoporosis results from aging or secondary causes.</w:t>
      </w:r>
    </w:p>
    <w:p w:rsidR="00A3454C" w:rsidRPr="0028121D" w:rsidRDefault="00A3454C" w:rsidP="00B5366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B53665" w:rsidRPr="00B53665" w:rsidRDefault="003E24EA" w:rsidP="003E24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4-</w:t>
      </w:r>
      <w:r w:rsidR="00B53665" w:rsidRPr="007E1A86">
        <w:rPr>
          <w:rFonts w:asciiTheme="majorBidi" w:hAnsiTheme="majorBidi" w:cstheme="majorBidi"/>
          <w:b/>
          <w:bCs/>
          <w:color w:val="333333"/>
          <w:sz w:val="28"/>
          <w:szCs w:val="28"/>
        </w:rPr>
        <w:t>Age-related osteoporosis results from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 hormone, calcium, and vitamin D deficiencies; less exercise; and other factors.</w:t>
      </w:r>
    </w:p>
    <w:p w:rsidR="00A3454C" w:rsidRPr="0028121D" w:rsidRDefault="00A3454C" w:rsidP="00B5366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45125D" w:rsidRPr="00B53665" w:rsidRDefault="003E24EA" w:rsidP="00A3454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5-</w:t>
      </w:r>
      <w:r w:rsidR="00B53665" w:rsidRPr="007E1A86">
        <w:rPr>
          <w:rFonts w:asciiTheme="majorBidi" w:hAnsiTheme="majorBidi" w:cstheme="majorBidi"/>
          <w:b/>
          <w:bCs/>
          <w:color w:val="333333"/>
          <w:sz w:val="28"/>
          <w:szCs w:val="28"/>
        </w:rPr>
        <w:t>Drug-induced osteoporosis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 may result from systemic corticosteroids, excessive thyroid hormone replacement, antiepileptic drugs (</w:t>
      </w:r>
      <w:proofErr w:type="spellStart"/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>eg</w:t>
      </w:r>
      <w:proofErr w:type="spellEnd"/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>, phenytoin,</w:t>
      </w:r>
      <w:r w:rsidR="00A3454C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phenobarbital), depot </w:t>
      </w:r>
      <w:proofErr w:type="spellStart"/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>medroxyprogesterone</w:t>
      </w:r>
      <w:proofErr w:type="spellEnd"/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 acetate, and other agents.</w:t>
      </w:r>
      <w:r w:rsidR="000746CE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   </w:t>
      </w:r>
    </w:p>
    <w:p w:rsidR="000746CE" w:rsidRPr="004A73A6" w:rsidRDefault="000746CE" w:rsidP="000746C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45125D" w:rsidRPr="000746CE" w:rsidRDefault="000746CE" w:rsidP="009E4FFB">
      <w:pPr>
        <w:autoSpaceDE w:val="0"/>
        <w:autoSpaceDN w:val="0"/>
        <w:bidi w:val="0"/>
        <w:adjustRightInd w:val="0"/>
        <w:spacing w:after="0" w:line="240" w:lineRule="auto"/>
        <w:jc w:val="both"/>
        <w:outlineLvl w:val="0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0746CE">
        <w:rPr>
          <w:rFonts w:asciiTheme="majorBidi" w:hAnsiTheme="majorBidi" w:cstheme="majorBidi"/>
          <w:b/>
          <w:bCs/>
          <w:color w:val="FF0000"/>
          <w:sz w:val="32"/>
          <w:szCs w:val="32"/>
        </w:rPr>
        <w:t>Clinical  presentation</w:t>
      </w:r>
    </w:p>
    <w:p w:rsidR="00B53665" w:rsidRPr="00B53665" w:rsidRDefault="003E24EA" w:rsidP="00A3454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B53665" w:rsidRPr="007E1A86">
        <w:rPr>
          <w:rFonts w:asciiTheme="majorBidi" w:hAnsiTheme="majorBidi" w:cstheme="majorBidi"/>
          <w:b/>
          <w:bCs/>
          <w:color w:val="333333"/>
          <w:sz w:val="28"/>
          <w:szCs w:val="28"/>
        </w:rPr>
        <w:t>Many patients are unaware that they have osteoporosis and only present after fracture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>. Fractures can occur after bending, lifting, or falling or</w:t>
      </w:r>
      <w:r w:rsidR="00A3454C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>independent of any activity.</w:t>
      </w:r>
    </w:p>
    <w:p w:rsidR="00A3454C" w:rsidRPr="0028121D" w:rsidRDefault="00A3454C" w:rsidP="00B5366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A3454C" w:rsidRDefault="003E24EA" w:rsidP="00A3454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2-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The most common fractures involve </w:t>
      </w:r>
      <w:r w:rsidR="00B53665" w:rsidRPr="007E1A86">
        <w:rPr>
          <w:rFonts w:asciiTheme="majorBidi" w:hAnsiTheme="majorBidi" w:cstheme="majorBidi"/>
          <w:b/>
          <w:bCs/>
          <w:color w:val="333333"/>
          <w:sz w:val="28"/>
          <w:szCs w:val="28"/>
        </w:rPr>
        <w:t>vertebrae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, </w:t>
      </w:r>
      <w:r w:rsidR="00B53665" w:rsidRPr="007E1A86">
        <w:rPr>
          <w:rFonts w:asciiTheme="majorBidi" w:hAnsiTheme="majorBidi" w:cstheme="majorBidi"/>
          <w:b/>
          <w:bCs/>
          <w:color w:val="333333"/>
          <w:sz w:val="28"/>
          <w:szCs w:val="28"/>
        </w:rPr>
        <w:t>proximal femur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, and </w:t>
      </w:r>
      <w:r w:rsidR="00B53665" w:rsidRPr="007E1A86">
        <w:rPr>
          <w:rFonts w:asciiTheme="majorBidi" w:hAnsiTheme="majorBidi" w:cstheme="majorBidi"/>
          <w:b/>
          <w:bCs/>
          <w:color w:val="333333"/>
          <w:sz w:val="28"/>
          <w:szCs w:val="28"/>
        </w:rPr>
        <w:t>distal radius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 (wrist or </w:t>
      </w:r>
      <w:proofErr w:type="spellStart"/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>Colles</w:t>
      </w:r>
      <w:proofErr w:type="spellEnd"/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 fracture). </w:t>
      </w:r>
    </w:p>
    <w:p w:rsidR="00A3454C" w:rsidRPr="0028121D" w:rsidRDefault="00A3454C" w:rsidP="00A3454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B53665" w:rsidRDefault="005A3CE7" w:rsidP="00A3454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3</w:t>
      </w:r>
      <w:r w:rsidR="003E24EA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>Multiple vertebral fractures decrease height and sometimes curve the spine (</w:t>
      </w:r>
      <w:r w:rsidR="00B53665" w:rsidRPr="007E1A86">
        <w:rPr>
          <w:rFonts w:asciiTheme="majorBidi" w:hAnsiTheme="majorBidi" w:cstheme="majorBidi"/>
          <w:b/>
          <w:bCs/>
          <w:color w:val="333333"/>
          <w:sz w:val="28"/>
          <w:szCs w:val="28"/>
        </w:rPr>
        <w:t>kyphosis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 or </w:t>
      </w:r>
      <w:proofErr w:type="spellStart"/>
      <w:r w:rsidR="00B53665" w:rsidRPr="007E1A86">
        <w:rPr>
          <w:rFonts w:asciiTheme="majorBidi" w:hAnsiTheme="majorBidi" w:cstheme="majorBidi"/>
          <w:b/>
          <w:bCs/>
          <w:color w:val="333333"/>
          <w:sz w:val="28"/>
          <w:szCs w:val="28"/>
        </w:rPr>
        <w:t>lordosis</w:t>
      </w:r>
      <w:proofErr w:type="spellEnd"/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>).</w:t>
      </w:r>
    </w:p>
    <w:p w:rsidR="00A3454C" w:rsidRPr="0028121D" w:rsidRDefault="00A3454C" w:rsidP="00A3454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0746CE" w:rsidRDefault="005A3CE7" w:rsidP="00B5366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4</w:t>
      </w:r>
      <w:r w:rsidR="003E24EA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Patients with a </w:t>
      </w:r>
      <w:proofErr w:type="spellStart"/>
      <w:r w:rsidR="00B53665" w:rsidRPr="007E1A86">
        <w:rPr>
          <w:rFonts w:asciiTheme="majorBidi" w:hAnsiTheme="majorBidi" w:cstheme="majorBidi"/>
          <w:b/>
          <w:bCs/>
          <w:color w:val="333333"/>
          <w:sz w:val="28"/>
          <w:szCs w:val="28"/>
        </w:rPr>
        <w:t>nonvertebral</w:t>
      </w:r>
      <w:proofErr w:type="spellEnd"/>
      <w:r w:rsidR="00B53665" w:rsidRPr="007E1A86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fracture frequently present with severe pain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>, swelling, and reduced function and mobility at the fracture site.</w:t>
      </w:r>
    </w:p>
    <w:p w:rsidR="003E24EA" w:rsidRPr="0028121D" w:rsidRDefault="003E24EA" w:rsidP="003E24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B53665" w:rsidRDefault="000746CE" w:rsidP="009E4FFB">
      <w:pPr>
        <w:autoSpaceDE w:val="0"/>
        <w:autoSpaceDN w:val="0"/>
        <w:bidi w:val="0"/>
        <w:adjustRightInd w:val="0"/>
        <w:spacing w:after="0" w:line="240" w:lineRule="auto"/>
        <w:jc w:val="both"/>
        <w:outlineLvl w:val="0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0746CE">
        <w:rPr>
          <w:rFonts w:asciiTheme="majorBidi" w:hAnsiTheme="majorBidi" w:cstheme="majorBidi"/>
          <w:b/>
          <w:bCs/>
          <w:color w:val="FF0000"/>
          <w:sz w:val="32"/>
          <w:szCs w:val="32"/>
        </w:rPr>
        <w:t>Diagnosis</w:t>
      </w:r>
    </w:p>
    <w:p w:rsidR="0045125D" w:rsidRDefault="007E1A86" w:rsidP="00AA226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>Physical examination findings may include bone pain, postural changes (</w:t>
      </w:r>
      <w:proofErr w:type="spellStart"/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>ie</w:t>
      </w:r>
      <w:proofErr w:type="spellEnd"/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>, kyphosis), and loss of height (&gt;1.5 in [3.8 cm]).</w:t>
      </w:r>
      <w:r w:rsidR="000746CE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</w:p>
    <w:p w:rsidR="007E1A86" w:rsidRPr="007E1A86" w:rsidRDefault="007E1A86" w:rsidP="007E1A86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7E1A86" w:rsidRPr="007E1A86" w:rsidRDefault="007E1A86" w:rsidP="007E1A86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2-</w:t>
      </w:r>
      <w:r w:rsidRPr="007E1A86">
        <w:rPr>
          <w:rFonts w:asciiTheme="majorBidi" w:hAnsiTheme="majorBidi" w:cstheme="majorBidi"/>
          <w:b/>
          <w:bCs/>
          <w:color w:val="333333"/>
          <w:sz w:val="28"/>
          <w:szCs w:val="28"/>
        </w:rPr>
        <w:t>Bone mineral density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Pr="008F02B6">
        <w:rPr>
          <w:rFonts w:asciiTheme="majorBidi" w:hAnsiTheme="majorBidi" w:cstheme="majorBidi"/>
          <w:color w:val="333333"/>
          <w:sz w:val="28"/>
          <w:szCs w:val="28"/>
        </w:rPr>
        <w:t>(BMD)</w:t>
      </w:r>
      <w:r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is measured by </w:t>
      </w:r>
      <w:r w:rsidRPr="007E1A86">
        <w:rPr>
          <w:rFonts w:asciiTheme="majorBidi" w:hAnsiTheme="majorBidi" w:cstheme="majorBidi"/>
          <w:color w:val="333333"/>
          <w:sz w:val="28"/>
          <w:szCs w:val="28"/>
        </w:rPr>
        <w:t xml:space="preserve"> dual-energy x-ray absorptiometry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(</w:t>
      </w:r>
      <w:r w:rsidRPr="007E1A86">
        <w:rPr>
          <w:rFonts w:asciiTheme="majorBidi" w:hAnsiTheme="majorBidi" w:cstheme="majorBidi"/>
          <w:b/>
          <w:bCs/>
          <w:color w:val="333333"/>
          <w:sz w:val="28"/>
          <w:szCs w:val="28"/>
        </w:rPr>
        <w:t>DXA) scan.</w:t>
      </w:r>
    </w:p>
    <w:p w:rsidR="002A06DE" w:rsidRDefault="002A06DE" w:rsidP="009E4FFB">
      <w:pPr>
        <w:autoSpaceDE w:val="0"/>
        <w:autoSpaceDN w:val="0"/>
        <w:bidi w:val="0"/>
        <w:adjustRightInd w:val="0"/>
        <w:spacing w:after="0" w:line="240" w:lineRule="auto"/>
        <w:jc w:val="both"/>
        <w:outlineLvl w:val="0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:rsidR="00B53665" w:rsidRDefault="00405882" w:rsidP="002A06DE">
      <w:pPr>
        <w:autoSpaceDE w:val="0"/>
        <w:autoSpaceDN w:val="0"/>
        <w:bidi w:val="0"/>
        <w:adjustRightInd w:val="0"/>
        <w:spacing w:after="0" w:line="240" w:lineRule="auto"/>
        <w:jc w:val="both"/>
        <w:outlineLvl w:val="0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405882">
        <w:rPr>
          <w:rFonts w:asciiTheme="majorBidi" w:hAnsiTheme="majorBidi" w:cstheme="majorBidi"/>
          <w:b/>
          <w:bCs/>
          <w:color w:val="FF0000"/>
          <w:sz w:val="32"/>
          <w:szCs w:val="32"/>
        </w:rPr>
        <w:t>Treatment</w:t>
      </w:r>
    </w:p>
    <w:p w:rsidR="00AA2269" w:rsidRPr="003E24EA" w:rsidRDefault="00B53665" w:rsidP="00AA226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 w:rsidRPr="003E24EA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Goals of Treatment: </w:t>
      </w:r>
    </w:p>
    <w:p w:rsidR="00634940" w:rsidRDefault="003E24EA" w:rsidP="00634940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The primary goal of osteoporosis care is </w:t>
      </w:r>
      <w:r w:rsidR="00B53665" w:rsidRPr="003E24EA">
        <w:rPr>
          <w:rFonts w:asciiTheme="majorBidi" w:hAnsiTheme="majorBidi" w:cstheme="majorBidi"/>
          <w:b/>
          <w:bCs/>
          <w:color w:val="333333"/>
          <w:sz w:val="28"/>
          <w:szCs w:val="28"/>
        </w:rPr>
        <w:t>prevention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. </w:t>
      </w:r>
    </w:p>
    <w:p w:rsidR="00AA2269" w:rsidRDefault="003E24EA" w:rsidP="00634940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lastRenderedPageBreak/>
        <w:t>2-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After low bone mass or </w:t>
      </w:r>
      <w:r w:rsidR="00B53665" w:rsidRPr="007E1A86">
        <w:rPr>
          <w:rFonts w:asciiTheme="majorBidi" w:hAnsiTheme="majorBidi" w:cstheme="majorBidi"/>
          <w:b/>
          <w:bCs/>
          <w:color w:val="333333"/>
          <w:sz w:val="28"/>
          <w:szCs w:val="28"/>
        </w:rPr>
        <w:t>osteoporosis develops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, the objective is to stabilize or improve bone mass and strength and </w:t>
      </w:r>
      <w:r w:rsidR="00B53665" w:rsidRPr="007E1A86">
        <w:rPr>
          <w:rFonts w:asciiTheme="majorBidi" w:hAnsiTheme="majorBidi" w:cstheme="majorBidi"/>
          <w:b/>
          <w:bCs/>
          <w:color w:val="333333"/>
          <w:sz w:val="28"/>
          <w:szCs w:val="28"/>
        </w:rPr>
        <w:t>prevent</w:t>
      </w:r>
      <w:r w:rsidR="00AA2269" w:rsidRPr="007E1A86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B53665" w:rsidRPr="007E1A86">
        <w:rPr>
          <w:rFonts w:asciiTheme="majorBidi" w:hAnsiTheme="majorBidi" w:cstheme="majorBidi"/>
          <w:b/>
          <w:bCs/>
          <w:color w:val="333333"/>
          <w:sz w:val="28"/>
          <w:szCs w:val="28"/>
        </w:rPr>
        <w:t>fractures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. </w:t>
      </w:r>
    </w:p>
    <w:p w:rsidR="00AA2269" w:rsidRPr="0028121D" w:rsidRDefault="00AA2269" w:rsidP="00AA226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45125D" w:rsidRPr="00B53665" w:rsidRDefault="003E24EA" w:rsidP="00634940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3-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Goals in patients with </w:t>
      </w:r>
      <w:r w:rsidR="00B53665" w:rsidRPr="007E1A86">
        <w:rPr>
          <w:rFonts w:asciiTheme="majorBidi" w:hAnsiTheme="majorBidi" w:cstheme="majorBidi"/>
          <w:b/>
          <w:bCs/>
          <w:color w:val="333333"/>
          <w:sz w:val="28"/>
          <w:szCs w:val="28"/>
        </w:rPr>
        <w:t>osteoporotic fractures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 include </w:t>
      </w:r>
      <w:r w:rsidR="00B53665" w:rsidRPr="007E1A86">
        <w:rPr>
          <w:rFonts w:asciiTheme="majorBidi" w:hAnsiTheme="majorBidi" w:cstheme="majorBidi"/>
          <w:b/>
          <w:bCs/>
          <w:color w:val="333333"/>
          <w:sz w:val="28"/>
          <w:szCs w:val="28"/>
        </w:rPr>
        <w:t>reducing pain and deformity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>, and</w:t>
      </w:r>
      <w:r w:rsidR="00AA2269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>improving quality of life</w:t>
      </w:r>
      <w:r w:rsidR="00405882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</w:p>
    <w:p w:rsidR="00AA2269" w:rsidRPr="0028121D" w:rsidRDefault="00AA2269" w:rsidP="00405882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45125D" w:rsidRDefault="0045125D" w:rsidP="009E4FFB">
      <w:pPr>
        <w:autoSpaceDE w:val="0"/>
        <w:autoSpaceDN w:val="0"/>
        <w:bidi w:val="0"/>
        <w:adjustRightInd w:val="0"/>
        <w:spacing w:after="0" w:line="240" w:lineRule="auto"/>
        <w:jc w:val="both"/>
        <w:outlineLvl w:val="1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405882">
        <w:rPr>
          <w:rFonts w:asciiTheme="majorBidi" w:hAnsiTheme="majorBidi" w:cstheme="majorBidi"/>
          <w:b/>
          <w:bCs/>
          <w:color w:val="0000FF"/>
          <w:sz w:val="32"/>
          <w:szCs w:val="32"/>
        </w:rPr>
        <w:t>Nonpharmacologic Therapy</w:t>
      </w:r>
    </w:p>
    <w:p w:rsidR="00B53665" w:rsidRPr="00B53665" w:rsidRDefault="003E24EA" w:rsidP="003E24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All individuals should have </w:t>
      </w:r>
      <w:r w:rsidR="00B53665" w:rsidRPr="007E1A86">
        <w:rPr>
          <w:rFonts w:asciiTheme="majorBidi" w:hAnsiTheme="majorBidi" w:cstheme="majorBidi"/>
          <w:b/>
          <w:bCs/>
          <w:color w:val="333333"/>
          <w:sz w:val="28"/>
          <w:szCs w:val="28"/>
        </w:rPr>
        <w:t>a balanced diet with adequate intake of calcium and</w:t>
      </w:r>
      <w:r w:rsidR="00AA2269" w:rsidRPr="007E1A86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B53665" w:rsidRPr="007E1A86">
        <w:rPr>
          <w:rFonts w:asciiTheme="majorBidi" w:hAnsiTheme="majorBidi" w:cstheme="majorBidi"/>
          <w:b/>
          <w:bCs/>
          <w:color w:val="333333"/>
          <w:sz w:val="28"/>
          <w:szCs w:val="28"/>
        </w:rPr>
        <w:t>vitamin</w:t>
      </w:r>
      <w:r w:rsidR="007E1A86">
        <w:rPr>
          <w:rFonts w:asciiTheme="majorBidi" w:hAnsiTheme="majorBidi" w:cstheme="majorBidi"/>
          <w:color w:val="333333"/>
          <w:sz w:val="28"/>
          <w:szCs w:val="28"/>
        </w:rPr>
        <w:t xml:space="preserve"> D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. 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>Protein is required for bone formation</w:t>
      </w:r>
      <w:r w:rsidR="00AA2269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AA2269" w:rsidRPr="0028121D" w:rsidRDefault="00AA2269" w:rsidP="00B5366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B53665" w:rsidRDefault="003E24EA" w:rsidP="002A06D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5A3CE7">
        <w:rPr>
          <w:rFonts w:asciiTheme="majorBidi" w:hAnsiTheme="majorBidi" w:cstheme="majorBidi"/>
          <w:color w:val="333333"/>
          <w:sz w:val="28"/>
          <w:szCs w:val="28"/>
        </w:rPr>
        <w:t>2-</w:t>
      </w:r>
      <w:r w:rsidR="005A3CE7" w:rsidRPr="005A3CE7">
        <w:rPr>
          <w:rFonts w:asciiTheme="majorBidi" w:hAnsiTheme="majorBidi" w:cstheme="majorBidi"/>
          <w:b/>
          <w:bCs/>
          <w:color w:val="333333"/>
          <w:sz w:val="28"/>
          <w:szCs w:val="28"/>
        </w:rPr>
        <w:t>Smoking cessation</w:t>
      </w:r>
      <w:r w:rsidR="005A3CE7">
        <w:rPr>
          <w:rFonts w:asciiTheme="majorBidi" w:hAnsiTheme="majorBidi" w:cstheme="majorBidi"/>
          <w:b/>
          <w:bCs/>
          <w:color w:val="333333"/>
          <w:sz w:val="28"/>
          <w:szCs w:val="28"/>
        </w:rPr>
        <w:t>, and reduced a</w:t>
      </w:r>
      <w:r w:rsidR="00B53665" w:rsidRPr="005A3CE7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lcohol </w:t>
      </w:r>
      <w:r w:rsidR="005A3CE7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and caffeine </w:t>
      </w:r>
      <w:r w:rsidR="00B53665" w:rsidRPr="005A3CE7">
        <w:rPr>
          <w:rFonts w:asciiTheme="majorBidi" w:hAnsiTheme="majorBidi" w:cstheme="majorBidi"/>
          <w:b/>
          <w:bCs/>
          <w:color w:val="333333"/>
          <w:sz w:val="28"/>
          <w:szCs w:val="28"/>
        </w:rPr>
        <w:t>consumption</w:t>
      </w:r>
      <w:r w:rsidR="00B53665" w:rsidRPr="005A3CE7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5A3CE7">
        <w:rPr>
          <w:rFonts w:asciiTheme="majorBidi" w:hAnsiTheme="majorBidi" w:cstheme="majorBidi"/>
          <w:color w:val="333333"/>
          <w:sz w:val="28"/>
          <w:szCs w:val="28"/>
        </w:rPr>
        <w:t xml:space="preserve">are recommended. </w:t>
      </w:r>
    </w:p>
    <w:p w:rsidR="00AA2269" w:rsidRPr="0028121D" w:rsidRDefault="00AA2269" w:rsidP="00AA226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B53665" w:rsidRPr="00B53665" w:rsidRDefault="003E24EA" w:rsidP="00634940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3-</w:t>
      </w:r>
      <w:r w:rsidR="00B53665" w:rsidRPr="007E1A86">
        <w:rPr>
          <w:rFonts w:asciiTheme="majorBidi" w:hAnsiTheme="majorBidi" w:cstheme="majorBidi"/>
          <w:b/>
          <w:bCs/>
          <w:color w:val="333333"/>
          <w:sz w:val="28"/>
          <w:szCs w:val="28"/>
        </w:rPr>
        <w:t>Weight-bearing aerobic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 and </w:t>
      </w:r>
      <w:r w:rsidR="00B53665" w:rsidRPr="007E1A86">
        <w:rPr>
          <w:rFonts w:asciiTheme="majorBidi" w:hAnsiTheme="majorBidi" w:cstheme="majorBidi"/>
          <w:b/>
          <w:bCs/>
          <w:color w:val="333333"/>
          <w:sz w:val="28"/>
          <w:szCs w:val="28"/>
        </w:rPr>
        <w:t>strengthening exercises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 can decrease risk of falls and fractures by improving muscle strength</w:t>
      </w:r>
      <w:r w:rsidR="00634940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AA2269" w:rsidRPr="0028121D" w:rsidRDefault="00AA2269" w:rsidP="00B5366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B53665" w:rsidRPr="00B53665" w:rsidRDefault="003E24EA" w:rsidP="00634940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4-</w:t>
      </w:r>
      <w:r w:rsidR="00B53665" w:rsidRPr="007E1A86">
        <w:rPr>
          <w:rFonts w:asciiTheme="majorBidi" w:hAnsiTheme="majorBidi" w:cstheme="majorBidi"/>
          <w:b/>
          <w:bCs/>
          <w:color w:val="333333"/>
          <w:sz w:val="28"/>
          <w:szCs w:val="28"/>
        </w:rPr>
        <w:t>Fall prevention programs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 can decrease falls</w:t>
      </w:r>
      <w:r w:rsidR="00EB2595">
        <w:rPr>
          <w:rFonts w:asciiTheme="majorBidi" w:hAnsiTheme="majorBidi" w:cstheme="majorBidi"/>
          <w:color w:val="333333"/>
          <w:sz w:val="28"/>
          <w:szCs w:val="28"/>
        </w:rPr>
        <w:t xml:space="preserve"> and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 fractures</w:t>
      </w:r>
      <w:r w:rsidR="00634940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AA2269" w:rsidRPr="0028121D" w:rsidRDefault="00AA2269" w:rsidP="00B5366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B53665" w:rsidRPr="00B53665" w:rsidRDefault="003E24EA" w:rsidP="00634940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5-</w:t>
      </w:r>
      <w:r w:rsidR="00B53665" w:rsidRPr="007E1A86">
        <w:rPr>
          <w:rFonts w:asciiTheme="majorBidi" w:hAnsiTheme="majorBidi" w:cstheme="majorBidi"/>
          <w:b/>
          <w:bCs/>
          <w:color w:val="333333"/>
          <w:sz w:val="28"/>
          <w:szCs w:val="28"/>
        </w:rPr>
        <w:t>Vertebroplasty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 and </w:t>
      </w:r>
      <w:proofErr w:type="spellStart"/>
      <w:r w:rsidR="00B53665" w:rsidRPr="007E1A86">
        <w:rPr>
          <w:rFonts w:asciiTheme="majorBidi" w:hAnsiTheme="majorBidi" w:cstheme="majorBidi"/>
          <w:b/>
          <w:bCs/>
          <w:color w:val="333333"/>
          <w:sz w:val="28"/>
          <w:szCs w:val="28"/>
        </w:rPr>
        <w:t>kyphoplasty</w:t>
      </w:r>
      <w:proofErr w:type="spellEnd"/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 involve injection of cement into fractured vertebra(e) for patients with debilitating pain from compression</w:t>
      </w:r>
      <w:r w:rsidR="00AA2269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fractures. </w:t>
      </w:r>
      <w:r w:rsidR="00634940" w:rsidRPr="00B53665">
        <w:rPr>
          <w:rFonts w:asciiTheme="majorBidi" w:hAnsiTheme="majorBidi" w:cstheme="majorBidi"/>
          <w:color w:val="333333"/>
          <w:sz w:val="28"/>
          <w:szCs w:val="28"/>
        </w:rPr>
        <w:t>R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>esearch</w:t>
      </w:r>
      <w:r w:rsidR="00634940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demonstrated </w:t>
      </w:r>
      <w:r w:rsidR="00B53665" w:rsidRPr="007E1A86">
        <w:rPr>
          <w:rFonts w:asciiTheme="majorBidi" w:hAnsiTheme="majorBidi" w:cstheme="majorBidi"/>
          <w:b/>
          <w:bCs/>
          <w:color w:val="333333"/>
          <w:sz w:val="28"/>
          <w:szCs w:val="28"/>
        </w:rPr>
        <w:t>only short</w:t>
      </w:r>
      <w:r w:rsidR="00AA2269" w:rsidRPr="007E1A86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B53665" w:rsidRPr="007E1A86">
        <w:rPr>
          <w:rFonts w:asciiTheme="majorBidi" w:hAnsiTheme="majorBidi" w:cstheme="majorBidi"/>
          <w:b/>
          <w:bCs/>
          <w:color w:val="333333"/>
          <w:sz w:val="28"/>
          <w:szCs w:val="28"/>
        </w:rPr>
        <w:t>term</w:t>
      </w:r>
      <w:r w:rsidR="00AA2269" w:rsidRPr="007E1A86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B53665" w:rsidRPr="007E1A86">
        <w:rPr>
          <w:rFonts w:asciiTheme="majorBidi" w:hAnsiTheme="majorBidi" w:cstheme="majorBidi"/>
          <w:b/>
          <w:bCs/>
          <w:color w:val="333333"/>
          <w:sz w:val="28"/>
          <w:szCs w:val="28"/>
        </w:rPr>
        <w:t>benefit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 with no major pain relief and the potential for post-procedure complications.</w:t>
      </w:r>
    </w:p>
    <w:p w:rsidR="00405882" w:rsidRPr="0028121D" w:rsidRDefault="00405882" w:rsidP="000746C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45125D" w:rsidRDefault="0045125D" w:rsidP="009E4FFB">
      <w:pPr>
        <w:autoSpaceDE w:val="0"/>
        <w:autoSpaceDN w:val="0"/>
        <w:bidi w:val="0"/>
        <w:adjustRightInd w:val="0"/>
        <w:spacing w:after="0" w:line="240" w:lineRule="auto"/>
        <w:jc w:val="both"/>
        <w:outlineLvl w:val="1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405882">
        <w:rPr>
          <w:rFonts w:asciiTheme="majorBidi" w:hAnsiTheme="majorBidi" w:cstheme="majorBidi"/>
          <w:b/>
          <w:bCs/>
          <w:color w:val="0000FF"/>
          <w:sz w:val="32"/>
          <w:szCs w:val="32"/>
        </w:rPr>
        <w:t>Pharmacologic Therapy</w:t>
      </w:r>
    </w:p>
    <w:p w:rsidR="00B53665" w:rsidRDefault="00B53665" w:rsidP="009E4FFB">
      <w:pPr>
        <w:autoSpaceDE w:val="0"/>
        <w:autoSpaceDN w:val="0"/>
        <w:bidi w:val="0"/>
        <w:adjustRightInd w:val="0"/>
        <w:spacing w:after="0" w:line="240" w:lineRule="auto"/>
        <w:jc w:val="both"/>
        <w:outlineLvl w:val="2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AA2269">
        <w:rPr>
          <w:rFonts w:asciiTheme="majorBidi" w:hAnsiTheme="majorBidi" w:cstheme="majorBidi"/>
          <w:b/>
          <w:bCs/>
          <w:color w:val="FF0000"/>
          <w:sz w:val="32"/>
          <w:szCs w:val="32"/>
        </w:rPr>
        <w:t>General Approach</w:t>
      </w:r>
    </w:p>
    <w:p w:rsidR="00EB2595" w:rsidRPr="00EB2595" w:rsidRDefault="00EB2595" w:rsidP="00EB259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EB2595">
        <w:rPr>
          <w:rFonts w:asciiTheme="majorBidi" w:hAnsiTheme="majorBidi" w:cstheme="majorBidi"/>
          <w:color w:val="333333"/>
          <w:sz w:val="28"/>
          <w:szCs w:val="28"/>
        </w:rPr>
        <w:t xml:space="preserve">1-Alendronate, </w:t>
      </w:r>
      <w:proofErr w:type="spellStart"/>
      <w:r w:rsidRPr="00EB2595">
        <w:rPr>
          <w:rFonts w:asciiTheme="majorBidi" w:hAnsiTheme="majorBidi" w:cstheme="majorBidi"/>
          <w:color w:val="333333"/>
          <w:sz w:val="28"/>
          <w:szCs w:val="28"/>
        </w:rPr>
        <w:t>risedronate</w:t>
      </w:r>
      <w:proofErr w:type="spellEnd"/>
      <w:r w:rsidRPr="00EB2595">
        <w:rPr>
          <w:rFonts w:asciiTheme="majorBidi" w:hAnsiTheme="majorBidi" w:cstheme="majorBidi"/>
          <w:color w:val="333333"/>
          <w:sz w:val="28"/>
          <w:szCs w:val="28"/>
        </w:rPr>
        <w:t xml:space="preserve">, </w:t>
      </w:r>
      <w:proofErr w:type="spellStart"/>
      <w:r w:rsidRPr="00EB2595">
        <w:rPr>
          <w:rFonts w:asciiTheme="majorBidi" w:hAnsiTheme="majorBidi" w:cstheme="majorBidi"/>
          <w:color w:val="333333"/>
          <w:sz w:val="28"/>
          <w:szCs w:val="28"/>
        </w:rPr>
        <w:t>zoledronic</w:t>
      </w:r>
      <w:proofErr w:type="spellEnd"/>
      <w:r w:rsidRPr="00EB2595">
        <w:rPr>
          <w:rFonts w:asciiTheme="majorBidi" w:hAnsiTheme="majorBidi" w:cstheme="majorBidi"/>
          <w:color w:val="333333"/>
          <w:sz w:val="28"/>
          <w:szCs w:val="28"/>
        </w:rPr>
        <w:t xml:space="preserve"> acid, and </w:t>
      </w:r>
      <w:proofErr w:type="spellStart"/>
      <w:r w:rsidRPr="00EB2595">
        <w:rPr>
          <w:rFonts w:asciiTheme="majorBidi" w:hAnsiTheme="majorBidi" w:cstheme="majorBidi"/>
          <w:color w:val="333333"/>
          <w:sz w:val="28"/>
          <w:szCs w:val="28"/>
        </w:rPr>
        <w:t>denosumab</w:t>
      </w:r>
      <w:proofErr w:type="spellEnd"/>
      <w:r w:rsidRPr="00EB2595">
        <w:rPr>
          <w:rFonts w:asciiTheme="majorBidi" w:hAnsiTheme="majorBidi" w:cstheme="majorBidi"/>
          <w:color w:val="333333"/>
          <w:sz w:val="28"/>
          <w:szCs w:val="28"/>
        </w:rPr>
        <w:t xml:space="preserve"> reduce both hip and vertebral fracture risks.</w:t>
      </w:r>
    </w:p>
    <w:p w:rsidR="00EB2595" w:rsidRPr="00634940" w:rsidRDefault="00EB2595" w:rsidP="00EB259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EB2595" w:rsidRPr="00EB2595" w:rsidRDefault="00EB2595" w:rsidP="00EB259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2-</w:t>
      </w:r>
      <w:r w:rsidRPr="00EB2595">
        <w:rPr>
          <w:rFonts w:asciiTheme="majorBidi" w:hAnsiTheme="majorBidi" w:cstheme="majorBidi"/>
          <w:color w:val="333333"/>
          <w:sz w:val="28"/>
          <w:szCs w:val="28"/>
        </w:rPr>
        <w:t xml:space="preserve">Abaloparatide, calcitonin, </w:t>
      </w:r>
      <w:proofErr w:type="spellStart"/>
      <w:r w:rsidRPr="00EB2595">
        <w:rPr>
          <w:rFonts w:asciiTheme="majorBidi" w:hAnsiTheme="majorBidi" w:cstheme="majorBidi"/>
          <w:color w:val="333333"/>
          <w:sz w:val="28"/>
          <w:szCs w:val="28"/>
        </w:rPr>
        <w:t>ibandronate</w:t>
      </w:r>
      <w:proofErr w:type="spellEnd"/>
      <w:r w:rsidRPr="00EB2595">
        <w:rPr>
          <w:rFonts w:asciiTheme="majorBidi" w:hAnsiTheme="majorBidi" w:cstheme="majorBidi"/>
          <w:color w:val="333333"/>
          <w:sz w:val="28"/>
          <w:szCs w:val="28"/>
        </w:rPr>
        <w:t xml:space="preserve">, </w:t>
      </w:r>
      <w:proofErr w:type="spellStart"/>
      <w:r w:rsidRPr="00EB2595">
        <w:rPr>
          <w:rFonts w:asciiTheme="majorBidi" w:hAnsiTheme="majorBidi" w:cstheme="majorBidi"/>
          <w:color w:val="333333"/>
          <w:sz w:val="28"/>
          <w:szCs w:val="28"/>
        </w:rPr>
        <w:t>raloxifene</w:t>
      </w:r>
      <w:proofErr w:type="spellEnd"/>
      <w:r w:rsidRPr="00EB2595">
        <w:rPr>
          <w:rFonts w:asciiTheme="majorBidi" w:hAnsiTheme="majorBidi" w:cstheme="majorBidi"/>
          <w:color w:val="333333"/>
          <w:sz w:val="28"/>
          <w:szCs w:val="28"/>
        </w:rPr>
        <w:t xml:space="preserve">, </w:t>
      </w:r>
      <w:proofErr w:type="spellStart"/>
      <w:r w:rsidRPr="00EB2595">
        <w:rPr>
          <w:rFonts w:asciiTheme="majorBidi" w:hAnsiTheme="majorBidi" w:cstheme="majorBidi"/>
          <w:color w:val="333333"/>
          <w:sz w:val="28"/>
          <w:szCs w:val="28"/>
        </w:rPr>
        <w:t>romosozumab</w:t>
      </w:r>
      <w:proofErr w:type="spellEnd"/>
      <w:r w:rsidRPr="00EB2595">
        <w:rPr>
          <w:rFonts w:asciiTheme="majorBidi" w:hAnsiTheme="majorBidi" w:cstheme="majorBidi"/>
          <w:color w:val="333333"/>
          <w:sz w:val="28"/>
          <w:szCs w:val="28"/>
        </w:rPr>
        <w:t xml:space="preserve">, and </w:t>
      </w:r>
      <w:proofErr w:type="spellStart"/>
      <w:r w:rsidRPr="00EB2595">
        <w:rPr>
          <w:rFonts w:asciiTheme="majorBidi" w:hAnsiTheme="majorBidi" w:cstheme="majorBidi"/>
          <w:color w:val="333333"/>
          <w:sz w:val="28"/>
          <w:szCs w:val="28"/>
        </w:rPr>
        <w:t>teriparatide</w:t>
      </w:r>
      <w:proofErr w:type="spellEnd"/>
      <w:r w:rsidRPr="00EB2595">
        <w:rPr>
          <w:rFonts w:asciiTheme="majorBidi" w:hAnsiTheme="majorBidi" w:cstheme="majorBidi"/>
          <w:color w:val="333333"/>
          <w:sz w:val="28"/>
          <w:szCs w:val="28"/>
        </w:rPr>
        <w:t xml:space="preserve"> reduce vertebral but not hip fracture risks.</w:t>
      </w:r>
    </w:p>
    <w:p w:rsidR="00EB2595" w:rsidRPr="00634940" w:rsidRDefault="00EB2595" w:rsidP="00EB259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B53665" w:rsidRPr="00B53665" w:rsidRDefault="003E24EA" w:rsidP="003E24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3-</w:t>
      </w:r>
      <w:r w:rsidR="00B53665" w:rsidRPr="007E1A86">
        <w:rPr>
          <w:rFonts w:asciiTheme="majorBidi" w:hAnsiTheme="majorBidi" w:cstheme="majorBidi"/>
          <w:b/>
          <w:bCs/>
          <w:color w:val="333333"/>
          <w:sz w:val="28"/>
          <w:szCs w:val="28"/>
        </w:rPr>
        <w:t>Calcitonin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 is </w:t>
      </w:r>
      <w:r w:rsidR="00B53665" w:rsidRPr="007E1A86">
        <w:rPr>
          <w:rFonts w:asciiTheme="majorBidi" w:hAnsiTheme="majorBidi" w:cstheme="majorBidi"/>
          <w:b/>
          <w:bCs/>
          <w:color w:val="333333"/>
          <w:sz w:val="28"/>
          <w:szCs w:val="28"/>
        </w:rPr>
        <w:t>last-line therapy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>.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B53665" w:rsidRPr="007E1A86">
        <w:rPr>
          <w:rFonts w:asciiTheme="majorBidi" w:hAnsiTheme="majorBidi" w:cstheme="majorBidi"/>
          <w:b/>
          <w:bCs/>
          <w:color w:val="333333"/>
          <w:sz w:val="28"/>
          <w:szCs w:val="28"/>
        </w:rPr>
        <w:t>Estrogen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 and </w:t>
      </w:r>
      <w:r w:rsidR="00B53665" w:rsidRPr="007E1A86">
        <w:rPr>
          <w:rFonts w:asciiTheme="majorBidi" w:hAnsiTheme="majorBidi" w:cstheme="majorBidi"/>
          <w:b/>
          <w:bCs/>
          <w:color w:val="333333"/>
          <w:sz w:val="28"/>
          <w:szCs w:val="28"/>
        </w:rPr>
        <w:t>testosterone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 are </w:t>
      </w:r>
      <w:r w:rsidR="00B53665" w:rsidRPr="007E1A86">
        <w:rPr>
          <w:rFonts w:asciiTheme="majorBidi" w:hAnsiTheme="majorBidi" w:cstheme="majorBidi"/>
          <w:b/>
          <w:bCs/>
          <w:color w:val="333333"/>
          <w:sz w:val="28"/>
          <w:szCs w:val="28"/>
        </w:rPr>
        <w:t>not used for osteoporosis treatment but can have a positive bone effect when prescribed for other conditions.</w:t>
      </w:r>
    </w:p>
    <w:p w:rsidR="00AA2269" w:rsidRPr="0028121D" w:rsidRDefault="00AA2269" w:rsidP="00B5366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B53665" w:rsidRPr="00AA2269" w:rsidRDefault="00B53665" w:rsidP="009E4FFB">
      <w:pPr>
        <w:autoSpaceDE w:val="0"/>
        <w:autoSpaceDN w:val="0"/>
        <w:bidi w:val="0"/>
        <w:adjustRightInd w:val="0"/>
        <w:spacing w:after="0" w:line="240" w:lineRule="auto"/>
        <w:jc w:val="both"/>
        <w:outlineLvl w:val="2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proofErr w:type="spellStart"/>
      <w:r w:rsidRPr="00AA2269">
        <w:rPr>
          <w:rFonts w:asciiTheme="majorBidi" w:hAnsiTheme="majorBidi" w:cstheme="majorBidi"/>
          <w:b/>
          <w:bCs/>
          <w:color w:val="FF0000"/>
          <w:sz w:val="32"/>
          <w:szCs w:val="32"/>
        </w:rPr>
        <w:t>Antiresorptive</w:t>
      </w:r>
      <w:proofErr w:type="spellEnd"/>
      <w:r w:rsidRPr="00AA2269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 Therapy</w:t>
      </w:r>
    </w:p>
    <w:p w:rsidR="00B53665" w:rsidRPr="00AA2269" w:rsidRDefault="00B53665" w:rsidP="009E4FFB">
      <w:pPr>
        <w:autoSpaceDE w:val="0"/>
        <w:autoSpaceDN w:val="0"/>
        <w:bidi w:val="0"/>
        <w:adjustRightInd w:val="0"/>
        <w:spacing w:after="0" w:line="240" w:lineRule="auto"/>
        <w:jc w:val="both"/>
        <w:outlineLvl w:val="3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AA2269">
        <w:rPr>
          <w:rFonts w:asciiTheme="majorBidi" w:hAnsiTheme="majorBidi" w:cstheme="majorBidi"/>
          <w:b/>
          <w:bCs/>
          <w:color w:val="0000FF"/>
          <w:sz w:val="32"/>
          <w:szCs w:val="32"/>
        </w:rPr>
        <w:t>Calcium Supplementation</w:t>
      </w:r>
    </w:p>
    <w:p w:rsidR="00AA2269" w:rsidRDefault="005A3CE7" w:rsidP="00B45CA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>There are insufficient data to support</w:t>
      </w:r>
      <w:r w:rsidR="00AA2269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>using calcium and vitamin D supplementation to reduce fracture incidence.</w:t>
      </w:r>
      <w:r w:rsidR="008F02B6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</w:p>
    <w:p w:rsidR="00AA2269" w:rsidRPr="0028121D" w:rsidRDefault="00AA2269" w:rsidP="00AA226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B53665" w:rsidRPr="00B53665" w:rsidRDefault="008F02B6" w:rsidP="00AA226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2-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Because the </w:t>
      </w:r>
      <w:r w:rsidR="00B53665" w:rsidRPr="00B45CA3">
        <w:rPr>
          <w:rFonts w:asciiTheme="majorBidi" w:hAnsiTheme="majorBidi" w:cstheme="majorBidi"/>
          <w:b/>
          <w:bCs/>
          <w:color w:val="333333"/>
          <w:sz w:val="28"/>
          <w:szCs w:val="28"/>
        </w:rPr>
        <w:t>fraction of calcium absorbed decreases with increasing</w:t>
      </w:r>
      <w:r w:rsidR="00AA2269" w:rsidRPr="00B45CA3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B53665" w:rsidRPr="00B45CA3">
        <w:rPr>
          <w:rFonts w:asciiTheme="majorBidi" w:hAnsiTheme="majorBidi" w:cstheme="majorBidi"/>
          <w:b/>
          <w:bCs/>
          <w:color w:val="333333"/>
          <w:sz w:val="28"/>
          <w:szCs w:val="28"/>
        </w:rPr>
        <w:t>dose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>, maximum single doses of 600 mg or less of elemental calcium are recommended.</w:t>
      </w:r>
    </w:p>
    <w:p w:rsidR="00AA2269" w:rsidRPr="0028121D" w:rsidRDefault="00AA2269" w:rsidP="00B5366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B53665" w:rsidRPr="00B53665" w:rsidRDefault="008F02B6" w:rsidP="00AA226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3-</w:t>
      </w:r>
      <w:r w:rsidR="00B53665" w:rsidRPr="00B45CA3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Calcium carbonate is the salt of choice 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>because it contains the highest concentration of elemental calcium (40%) and is typically least expensive.</w:t>
      </w:r>
      <w:r w:rsidR="00AA2269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B53665" w:rsidRPr="00B45CA3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It should be ingested with meals 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>to enhance absorption in an acidic environment.</w:t>
      </w:r>
    </w:p>
    <w:p w:rsidR="00AA2269" w:rsidRPr="0028121D" w:rsidRDefault="00AA2269" w:rsidP="00B5366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B53665" w:rsidRPr="00B53665" w:rsidRDefault="008F02B6" w:rsidP="00AA226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4-</w:t>
      </w:r>
      <w:r w:rsidR="00B53665" w:rsidRPr="00B45CA3">
        <w:rPr>
          <w:rFonts w:asciiTheme="majorBidi" w:hAnsiTheme="majorBidi" w:cstheme="majorBidi"/>
          <w:b/>
          <w:bCs/>
          <w:color w:val="333333"/>
          <w:sz w:val="28"/>
          <w:szCs w:val="28"/>
        </w:rPr>
        <w:t>Calcium citrate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 (21% calcium) has </w:t>
      </w:r>
      <w:r w:rsidR="00B53665" w:rsidRPr="00B45CA3">
        <w:rPr>
          <w:rFonts w:asciiTheme="majorBidi" w:hAnsiTheme="majorBidi" w:cstheme="majorBidi"/>
          <w:b/>
          <w:bCs/>
          <w:color w:val="333333"/>
          <w:sz w:val="28"/>
          <w:szCs w:val="28"/>
        </w:rPr>
        <w:t>acid-independent absorption and need not be taken with meals.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 It may have fewer GI side effects than calcium</w:t>
      </w:r>
      <w:r w:rsidR="00AA2269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>carbonate.</w:t>
      </w:r>
    </w:p>
    <w:p w:rsidR="00AA2269" w:rsidRPr="0028121D" w:rsidRDefault="00AA2269" w:rsidP="00B5366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B53665" w:rsidRPr="00B45CA3" w:rsidRDefault="008F02B6" w:rsidP="008F02B6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5-</w:t>
      </w:r>
      <w:r w:rsidR="00B53665" w:rsidRPr="00B45CA3">
        <w:rPr>
          <w:rFonts w:asciiTheme="majorBidi" w:hAnsiTheme="majorBidi" w:cstheme="majorBidi"/>
          <w:b/>
          <w:bCs/>
          <w:color w:val="333333"/>
          <w:sz w:val="28"/>
          <w:szCs w:val="28"/>
        </w:rPr>
        <w:t>Tricalcium phosphate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 contains 38% calcium</w:t>
      </w:r>
      <w:r>
        <w:rPr>
          <w:rFonts w:asciiTheme="majorBidi" w:hAnsiTheme="majorBidi" w:cstheme="majorBidi"/>
          <w:color w:val="333333"/>
          <w:sz w:val="28"/>
          <w:szCs w:val="28"/>
        </w:rPr>
        <w:t>.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 It may be useful in</w:t>
      </w:r>
      <w:r w:rsidR="00AA2269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B53665" w:rsidRPr="00B45CA3">
        <w:rPr>
          <w:rFonts w:asciiTheme="majorBidi" w:hAnsiTheme="majorBidi" w:cstheme="majorBidi"/>
          <w:b/>
          <w:bCs/>
          <w:color w:val="333333"/>
          <w:sz w:val="28"/>
          <w:szCs w:val="28"/>
        </w:rPr>
        <w:t>patients with hypophosphatemia that cannot be resolved with increased dietary intake.</w:t>
      </w:r>
    </w:p>
    <w:p w:rsidR="008F02B6" w:rsidRPr="0028121D" w:rsidRDefault="008F02B6" w:rsidP="00AA226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AA2269" w:rsidRDefault="008F02B6" w:rsidP="008F02B6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lastRenderedPageBreak/>
        <w:t>6-</w:t>
      </w:r>
      <w:r w:rsidR="00B53665" w:rsidRPr="00B45CA3">
        <w:rPr>
          <w:rFonts w:asciiTheme="majorBidi" w:hAnsiTheme="majorBidi" w:cstheme="majorBidi"/>
          <w:b/>
          <w:bCs/>
          <w:color w:val="333333"/>
          <w:sz w:val="28"/>
          <w:szCs w:val="28"/>
        </w:rPr>
        <w:t>Constipation is the most common calcium-related adverse reaction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; treat with increased water intake, dietary fiber , and exercise. </w:t>
      </w:r>
    </w:p>
    <w:p w:rsidR="00AA2269" w:rsidRPr="0028121D" w:rsidRDefault="00AA2269" w:rsidP="00AA226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B53665" w:rsidRDefault="008F02B6" w:rsidP="00AA226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7-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>Calcium carbonate can sometimes cause flatulence or upset stomach. Calcium causes kidney stones rarely.</w:t>
      </w:r>
      <w:r w:rsidR="00AA2269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</w:p>
    <w:p w:rsidR="00AA2269" w:rsidRPr="0028121D" w:rsidRDefault="00AA2269" w:rsidP="00AA226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B53665" w:rsidRPr="00B53665" w:rsidRDefault="008F02B6" w:rsidP="00B5366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8-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Calcium can </w:t>
      </w:r>
      <w:r w:rsidR="00B53665" w:rsidRPr="00B45CA3">
        <w:rPr>
          <w:rFonts w:asciiTheme="majorBidi" w:hAnsiTheme="majorBidi" w:cstheme="majorBidi"/>
          <w:b/>
          <w:bCs/>
          <w:color w:val="333333"/>
          <w:sz w:val="28"/>
          <w:szCs w:val="28"/>
        </w:rPr>
        <w:t>decrease the oral absorption of some drugs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 including iron, </w:t>
      </w:r>
      <w:proofErr w:type="spellStart"/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>tetracyclines</w:t>
      </w:r>
      <w:proofErr w:type="spellEnd"/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>, quinolones, bisphosphonates, and thyroid supplements.</w:t>
      </w:r>
    </w:p>
    <w:p w:rsidR="00AA2269" w:rsidRPr="0028121D" w:rsidRDefault="00AA2269" w:rsidP="00B5366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B53665" w:rsidRPr="00AA2269" w:rsidRDefault="00B53665" w:rsidP="009E4FFB">
      <w:pPr>
        <w:autoSpaceDE w:val="0"/>
        <w:autoSpaceDN w:val="0"/>
        <w:bidi w:val="0"/>
        <w:adjustRightInd w:val="0"/>
        <w:spacing w:after="0" w:line="240" w:lineRule="auto"/>
        <w:jc w:val="both"/>
        <w:outlineLvl w:val="3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AA2269">
        <w:rPr>
          <w:rFonts w:asciiTheme="majorBidi" w:hAnsiTheme="majorBidi" w:cstheme="majorBidi"/>
          <w:b/>
          <w:bCs/>
          <w:color w:val="0000FF"/>
          <w:sz w:val="32"/>
          <w:szCs w:val="32"/>
        </w:rPr>
        <w:t>Vitamin D Supplementation</w:t>
      </w:r>
    </w:p>
    <w:p w:rsidR="00AA2269" w:rsidRDefault="005A3CE7" w:rsidP="00AA226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</w:t>
      </w:r>
      <w:r w:rsidR="008F02B6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Supplementation is usually provided with </w:t>
      </w:r>
      <w:r w:rsidR="00B53665" w:rsidRPr="00014020">
        <w:rPr>
          <w:rFonts w:asciiTheme="majorBidi" w:hAnsiTheme="majorBidi" w:cstheme="majorBidi"/>
          <w:b/>
          <w:bCs/>
          <w:color w:val="333333"/>
          <w:sz w:val="28"/>
          <w:szCs w:val="28"/>
          <w:u w:val="single"/>
        </w:rPr>
        <w:t>daily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 nonprescription </w:t>
      </w:r>
      <w:proofErr w:type="spellStart"/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>cholecalciferol</w:t>
      </w:r>
      <w:proofErr w:type="spellEnd"/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 (</w:t>
      </w:r>
      <w:r w:rsidR="00B53665" w:rsidRPr="00B45CA3">
        <w:rPr>
          <w:rFonts w:asciiTheme="majorBidi" w:hAnsiTheme="majorBidi" w:cstheme="majorBidi"/>
          <w:b/>
          <w:bCs/>
          <w:color w:val="333333"/>
          <w:sz w:val="28"/>
          <w:szCs w:val="28"/>
        </w:rPr>
        <w:t>vitamin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B53665" w:rsidRPr="00B45CA3">
        <w:rPr>
          <w:rFonts w:asciiTheme="majorBidi" w:hAnsiTheme="majorBidi" w:cstheme="majorBidi"/>
          <w:b/>
          <w:bCs/>
          <w:color w:val="333333"/>
          <w:sz w:val="28"/>
          <w:szCs w:val="28"/>
        </w:rPr>
        <w:t>D3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) products. Higher-dose prescription </w:t>
      </w:r>
      <w:proofErr w:type="spellStart"/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>ergocalciferol</w:t>
      </w:r>
      <w:proofErr w:type="spellEnd"/>
      <w:r w:rsidR="00AA2269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>(</w:t>
      </w:r>
      <w:r w:rsidR="00B53665" w:rsidRPr="00B45CA3">
        <w:rPr>
          <w:rFonts w:asciiTheme="majorBidi" w:hAnsiTheme="majorBidi" w:cstheme="majorBidi"/>
          <w:b/>
          <w:bCs/>
          <w:color w:val="333333"/>
          <w:sz w:val="28"/>
          <w:szCs w:val="28"/>
        </w:rPr>
        <w:t>vitamin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B53665" w:rsidRPr="00B45CA3">
        <w:rPr>
          <w:rFonts w:asciiTheme="majorBidi" w:hAnsiTheme="majorBidi" w:cstheme="majorBidi"/>
          <w:b/>
          <w:bCs/>
          <w:color w:val="333333"/>
          <w:sz w:val="28"/>
          <w:szCs w:val="28"/>
        </w:rPr>
        <w:t>D2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) regimens given weekly, monthly, or quarterly may be used for replacement and maintenance therapy. </w:t>
      </w:r>
    </w:p>
    <w:p w:rsidR="00AA2269" w:rsidRPr="0028121D" w:rsidRDefault="00AA2269" w:rsidP="00AA226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B53665" w:rsidRPr="00B53665" w:rsidRDefault="005A3CE7" w:rsidP="00634940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</w:t>
      </w:r>
      <w:r w:rsidR="008F02B6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>Current guidelines recommend treating patients with osteoporosis to a 25-hydroxyvitamin D concentration of at least</w:t>
      </w:r>
      <w:r w:rsidR="00AC23F1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AC23F1" w:rsidRPr="00634940">
        <w:rPr>
          <w:rFonts w:asciiTheme="majorBidi" w:hAnsiTheme="majorBidi" w:cstheme="majorBidi"/>
          <w:color w:val="333333"/>
          <w:sz w:val="28"/>
          <w:szCs w:val="28"/>
        </w:rPr>
        <w:t>20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  </w:t>
      </w:r>
      <w:proofErr w:type="spellStart"/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>ng</w:t>
      </w:r>
      <w:proofErr w:type="spellEnd"/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>/mL or 30</w:t>
      </w:r>
      <w:r w:rsidR="00B53665" w:rsidRPr="00B53665">
        <w:rPr>
          <w:rFonts w:asciiTheme="majorBidi" w:hAnsiTheme="majorBidi" w:cstheme="majorBidi" w:hint="cs"/>
          <w:color w:val="333333"/>
          <w:sz w:val="28"/>
          <w:szCs w:val="28"/>
        </w:rPr>
        <w:t>–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50 </w:t>
      </w:r>
      <w:proofErr w:type="spellStart"/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>ng</w:t>
      </w:r>
      <w:proofErr w:type="spellEnd"/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>/</w:t>
      </w:r>
      <w:proofErr w:type="spellStart"/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>mL.</w:t>
      </w:r>
      <w:proofErr w:type="spellEnd"/>
    </w:p>
    <w:p w:rsidR="00AA2269" w:rsidRPr="0028121D" w:rsidRDefault="00AA2269" w:rsidP="00B5366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B53665" w:rsidRPr="00B45CA3" w:rsidRDefault="005A3CE7" w:rsidP="00AA226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3</w:t>
      </w:r>
      <w:r w:rsidR="008F02B6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Because the </w:t>
      </w:r>
      <w:r w:rsidR="00B53665" w:rsidRPr="00B45CA3">
        <w:rPr>
          <w:rFonts w:asciiTheme="majorBidi" w:hAnsiTheme="majorBidi" w:cstheme="majorBidi"/>
          <w:b/>
          <w:bCs/>
          <w:color w:val="333333"/>
          <w:sz w:val="28"/>
          <w:szCs w:val="28"/>
        </w:rPr>
        <w:t>half-life of vitamin D is about 1 month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, </w:t>
      </w:r>
      <w:r w:rsidR="00B53665" w:rsidRPr="00B45CA3">
        <w:rPr>
          <w:rFonts w:asciiTheme="majorBidi" w:hAnsiTheme="majorBidi" w:cstheme="majorBidi"/>
          <w:b/>
          <w:bCs/>
          <w:color w:val="333333"/>
          <w:sz w:val="28"/>
          <w:szCs w:val="28"/>
        </w:rPr>
        <w:t>recheck the vitamin D concentration after about 3 months of therapy.</w:t>
      </w:r>
    </w:p>
    <w:p w:rsidR="00AA2269" w:rsidRPr="0028121D" w:rsidRDefault="00AA2269" w:rsidP="00B5366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B53665" w:rsidRPr="00AA2269" w:rsidRDefault="00B53665" w:rsidP="009E4FFB">
      <w:pPr>
        <w:autoSpaceDE w:val="0"/>
        <w:autoSpaceDN w:val="0"/>
        <w:bidi w:val="0"/>
        <w:adjustRightInd w:val="0"/>
        <w:spacing w:after="0" w:line="240" w:lineRule="auto"/>
        <w:jc w:val="both"/>
        <w:outlineLvl w:val="3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AA2269">
        <w:rPr>
          <w:rFonts w:asciiTheme="majorBidi" w:hAnsiTheme="majorBidi" w:cstheme="majorBidi"/>
          <w:b/>
          <w:bCs/>
          <w:color w:val="0000FF"/>
          <w:sz w:val="32"/>
          <w:szCs w:val="32"/>
        </w:rPr>
        <w:t>Bisphosphonates</w:t>
      </w:r>
    </w:p>
    <w:p w:rsidR="00AA2269" w:rsidRDefault="008F02B6" w:rsidP="00AA226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>Bisphosphonates</w:t>
      </w:r>
      <w:r w:rsidR="00AA2269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>mimic pyrophosphate, an endogenous bone resorption inhibitor. Therapy leads to decreased osteoclast</w:t>
      </w:r>
      <w:r w:rsidR="00AA2269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maturation, number, recruitment, and life span. </w:t>
      </w:r>
    </w:p>
    <w:p w:rsidR="00AA2269" w:rsidRPr="0028121D" w:rsidRDefault="00AA2269" w:rsidP="00AA226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B53665" w:rsidRPr="00B53665" w:rsidRDefault="008F02B6" w:rsidP="00AA226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2-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Incorporation into bone gives bisphosphonates </w:t>
      </w:r>
      <w:r w:rsidR="00B53665" w:rsidRPr="00B45CA3">
        <w:rPr>
          <w:rFonts w:asciiTheme="majorBidi" w:hAnsiTheme="majorBidi" w:cstheme="majorBidi"/>
          <w:b/>
          <w:bCs/>
          <w:color w:val="333333"/>
          <w:sz w:val="28"/>
          <w:szCs w:val="28"/>
        </w:rPr>
        <w:t>long biologic half-lives of up to</w:t>
      </w:r>
      <w:r w:rsidR="00AA2269" w:rsidRPr="00B45CA3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B53665" w:rsidRPr="00B45CA3">
        <w:rPr>
          <w:rFonts w:asciiTheme="majorBidi" w:hAnsiTheme="majorBidi" w:cstheme="majorBidi"/>
          <w:b/>
          <w:bCs/>
          <w:color w:val="333333"/>
          <w:sz w:val="28"/>
          <w:szCs w:val="28"/>
        </w:rPr>
        <w:t>10 years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B53665" w:rsidRPr="0028121D" w:rsidRDefault="00B53665" w:rsidP="00B5366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B53665" w:rsidRPr="00B53665" w:rsidRDefault="008F02B6" w:rsidP="00AA226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3-</w:t>
      </w:r>
      <w:r w:rsidR="00B53665" w:rsidRPr="00B45CA3">
        <w:rPr>
          <w:rFonts w:asciiTheme="majorBidi" w:hAnsiTheme="majorBidi" w:cstheme="majorBidi"/>
          <w:b/>
          <w:bCs/>
          <w:color w:val="333333"/>
          <w:sz w:val="28"/>
          <w:szCs w:val="28"/>
        </w:rPr>
        <w:t>Ibandronate is</w:t>
      </w:r>
      <w:r w:rsidR="00AA2269" w:rsidRPr="00B45CA3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B53665" w:rsidRPr="00B45CA3">
        <w:rPr>
          <w:rFonts w:asciiTheme="majorBidi" w:hAnsiTheme="majorBidi" w:cstheme="majorBidi"/>
          <w:b/>
          <w:bCs/>
          <w:color w:val="333333"/>
          <w:sz w:val="28"/>
          <w:szCs w:val="28"/>
        </w:rPr>
        <w:t>not a first-line therapy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 because of the lack of hip fracture reduction data.</w:t>
      </w:r>
    </w:p>
    <w:p w:rsidR="00AA2269" w:rsidRPr="0028121D" w:rsidRDefault="00AA2269" w:rsidP="00B5366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B53665" w:rsidRPr="00B53665" w:rsidRDefault="008F02B6" w:rsidP="00C80C0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4-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BMD increases are dose dependent </w:t>
      </w:r>
      <w:r w:rsidR="00B53665" w:rsidRPr="00B45CA3">
        <w:rPr>
          <w:rFonts w:asciiTheme="majorBidi" w:hAnsiTheme="majorBidi" w:cstheme="majorBidi"/>
          <w:b/>
          <w:bCs/>
          <w:color w:val="333333"/>
          <w:sz w:val="28"/>
          <w:szCs w:val="28"/>
        </w:rPr>
        <w:t>and greatest in the first 12 months of therapy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>. After discontinuation, the increased BMD is sustained for a</w:t>
      </w:r>
      <w:r w:rsidR="00C80C04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>prolonged period that varies per bisphosphonate.</w:t>
      </w:r>
    </w:p>
    <w:p w:rsidR="008F02B6" w:rsidRPr="0028121D" w:rsidRDefault="008F02B6" w:rsidP="00C80C0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C80C04" w:rsidRDefault="00634940" w:rsidP="00C80C0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5</w:t>
      </w:r>
      <w:r w:rsidR="008F02B6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Oral bisphosphonates must be </w:t>
      </w:r>
      <w:r w:rsidR="00B53665" w:rsidRPr="00B45CA3">
        <w:rPr>
          <w:rFonts w:asciiTheme="majorBidi" w:hAnsiTheme="majorBidi" w:cstheme="majorBidi"/>
          <w:b/>
          <w:bCs/>
          <w:color w:val="333333"/>
          <w:sz w:val="28"/>
          <w:szCs w:val="28"/>
        </w:rPr>
        <w:t>administered correctly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 to optimize clinical benefit and minimize adverse GI effects. </w:t>
      </w:r>
    </w:p>
    <w:p w:rsidR="00C80C04" w:rsidRPr="0028121D" w:rsidRDefault="00C80C04" w:rsidP="00C80C0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C80C04" w:rsidRDefault="008F02B6" w:rsidP="00634940">
      <w:pPr>
        <w:autoSpaceDE w:val="0"/>
        <w:autoSpaceDN w:val="0"/>
        <w:bidi w:val="0"/>
        <w:adjustRightInd w:val="0"/>
        <w:spacing w:after="0" w:line="240" w:lineRule="auto"/>
        <w:ind w:left="284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A-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>Each oral tablet should be</w:t>
      </w:r>
      <w:r w:rsidR="00C80C04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B53665" w:rsidRPr="00B45CA3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taken in the morning with at least 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(180 mL) of </w:t>
      </w:r>
      <w:r w:rsidR="00B53665" w:rsidRPr="00B45CA3">
        <w:rPr>
          <w:rFonts w:asciiTheme="majorBidi" w:hAnsiTheme="majorBidi" w:cstheme="majorBidi"/>
          <w:b/>
          <w:bCs/>
          <w:color w:val="333333"/>
          <w:sz w:val="28"/>
          <w:szCs w:val="28"/>
        </w:rPr>
        <w:t>plain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B53665" w:rsidRPr="00B45CA3">
        <w:rPr>
          <w:rFonts w:asciiTheme="majorBidi" w:hAnsiTheme="majorBidi" w:cstheme="majorBidi"/>
          <w:b/>
          <w:bCs/>
          <w:color w:val="333333"/>
          <w:sz w:val="28"/>
          <w:szCs w:val="28"/>
        </w:rPr>
        <w:t>water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 (not coffee, juice, mineral water, or milk) </w:t>
      </w:r>
      <w:r w:rsidR="00B53665" w:rsidRPr="00B45CA3">
        <w:rPr>
          <w:rFonts w:asciiTheme="majorBidi" w:hAnsiTheme="majorBidi" w:cstheme="majorBidi"/>
          <w:b/>
          <w:bCs/>
          <w:color w:val="333333"/>
          <w:sz w:val="28"/>
          <w:szCs w:val="28"/>
        </w:rPr>
        <w:t>at least 30 minutes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 (60 minutes for oral</w:t>
      </w:r>
      <w:r w:rsidR="00C80C04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proofErr w:type="spellStart"/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>ibandronate</w:t>
      </w:r>
      <w:proofErr w:type="spellEnd"/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) </w:t>
      </w:r>
      <w:r w:rsidR="00B53665" w:rsidRPr="00B45CA3">
        <w:rPr>
          <w:rFonts w:asciiTheme="majorBidi" w:hAnsiTheme="majorBidi" w:cstheme="majorBidi"/>
          <w:b/>
          <w:bCs/>
          <w:color w:val="333333"/>
          <w:sz w:val="28"/>
          <w:szCs w:val="28"/>
        </w:rPr>
        <w:t>before consuming any food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, supplements, or medications. </w:t>
      </w:r>
    </w:p>
    <w:p w:rsidR="00C80C04" w:rsidRPr="0028121D" w:rsidRDefault="00C80C04" w:rsidP="0028121D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C80C04" w:rsidRDefault="008F02B6" w:rsidP="00634940">
      <w:pPr>
        <w:autoSpaceDE w:val="0"/>
        <w:autoSpaceDN w:val="0"/>
        <w:bidi w:val="0"/>
        <w:adjustRightInd w:val="0"/>
        <w:spacing w:after="0" w:line="240" w:lineRule="auto"/>
        <w:ind w:left="284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B-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An exception is </w:t>
      </w:r>
      <w:r w:rsidR="00B53665" w:rsidRPr="00B45CA3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delayed-release </w:t>
      </w:r>
      <w:proofErr w:type="spellStart"/>
      <w:r w:rsidR="00B53665" w:rsidRPr="00B45CA3">
        <w:rPr>
          <w:rFonts w:asciiTheme="majorBidi" w:hAnsiTheme="majorBidi" w:cstheme="majorBidi"/>
          <w:b/>
          <w:bCs/>
          <w:color w:val="333333"/>
          <w:sz w:val="28"/>
          <w:szCs w:val="28"/>
        </w:rPr>
        <w:t>risedronate</w:t>
      </w:r>
      <w:proofErr w:type="spellEnd"/>
      <w:r w:rsidR="00B53665" w:rsidRPr="00B45CA3">
        <w:rPr>
          <w:rFonts w:asciiTheme="majorBidi" w:hAnsiTheme="majorBidi" w:cstheme="majorBidi"/>
          <w:b/>
          <w:bCs/>
          <w:color w:val="333333"/>
          <w:sz w:val="28"/>
          <w:szCs w:val="28"/>
        </w:rPr>
        <w:t>, which is administered</w:t>
      </w:r>
      <w:r w:rsidR="00C80C04" w:rsidRPr="00B45CA3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B53665" w:rsidRPr="00B45CA3">
        <w:rPr>
          <w:rFonts w:asciiTheme="majorBidi" w:hAnsiTheme="majorBidi" w:cstheme="majorBidi"/>
          <w:b/>
          <w:bCs/>
          <w:color w:val="333333"/>
          <w:sz w:val="28"/>
          <w:szCs w:val="28"/>
        </w:rPr>
        <w:t>immediately after breakfast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 with at least (120 mL) of plain water. </w:t>
      </w:r>
    </w:p>
    <w:p w:rsidR="00C80C04" w:rsidRPr="0028121D" w:rsidRDefault="00C80C04" w:rsidP="0028121D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B53665" w:rsidRPr="00B53665" w:rsidRDefault="008F02B6" w:rsidP="008F02B6">
      <w:pPr>
        <w:autoSpaceDE w:val="0"/>
        <w:autoSpaceDN w:val="0"/>
        <w:bidi w:val="0"/>
        <w:adjustRightInd w:val="0"/>
        <w:spacing w:after="0" w:line="240" w:lineRule="auto"/>
        <w:ind w:left="284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C-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The patient </w:t>
      </w:r>
      <w:r w:rsidR="00B53665" w:rsidRPr="00B45CA3">
        <w:rPr>
          <w:rFonts w:asciiTheme="majorBidi" w:hAnsiTheme="majorBidi" w:cstheme="majorBidi"/>
          <w:b/>
          <w:bCs/>
          <w:color w:val="333333"/>
          <w:sz w:val="28"/>
          <w:szCs w:val="28"/>
        </w:rPr>
        <w:t>should remain upright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 (</w:t>
      </w:r>
      <w:r w:rsidR="00B53665" w:rsidRPr="00B45CA3">
        <w:rPr>
          <w:rFonts w:asciiTheme="majorBidi" w:hAnsiTheme="majorBidi" w:cstheme="majorBidi"/>
          <w:b/>
          <w:bCs/>
          <w:color w:val="333333"/>
          <w:sz w:val="28"/>
          <w:szCs w:val="28"/>
        </w:rPr>
        <w:t>sitting or standing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) </w:t>
      </w:r>
      <w:r w:rsidR="00B53665" w:rsidRPr="00B45CA3">
        <w:rPr>
          <w:rFonts w:asciiTheme="majorBidi" w:hAnsiTheme="majorBidi" w:cstheme="majorBidi"/>
          <w:b/>
          <w:bCs/>
          <w:color w:val="333333"/>
          <w:sz w:val="28"/>
          <w:szCs w:val="28"/>
        </w:rPr>
        <w:t>for at least 30</w:t>
      </w:r>
      <w:r w:rsidR="00C80C04" w:rsidRPr="00B45CA3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B53665" w:rsidRPr="00B45CA3">
        <w:rPr>
          <w:rFonts w:asciiTheme="majorBidi" w:hAnsiTheme="majorBidi" w:cstheme="majorBidi"/>
          <w:b/>
          <w:bCs/>
          <w:color w:val="333333"/>
          <w:sz w:val="28"/>
          <w:szCs w:val="28"/>
        </w:rPr>
        <w:t>minutes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 after alendronate and </w:t>
      </w:r>
      <w:proofErr w:type="spellStart"/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>risedronate</w:t>
      </w:r>
      <w:proofErr w:type="spellEnd"/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 and </w:t>
      </w:r>
      <w:r w:rsidR="00B53665" w:rsidRPr="00B45CA3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1 hour after </w:t>
      </w:r>
      <w:proofErr w:type="spellStart"/>
      <w:r w:rsidR="00B53665" w:rsidRPr="00B45CA3">
        <w:rPr>
          <w:rFonts w:asciiTheme="majorBidi" w:hAnsiTheme="majorBidi" w:cstheme="majorBidi"/>
          <w:b/>
          <w:bCs/>
          <w:color w:val="333333"/>
          <w:sz w:val="28"/>
          <w:szCs w:val="28"/>
        </w:rPr>
        <w:t>ibandronate</w:t>
      </w:r>
      <w:proofErr w:type="spellEnd"/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 to prevent esophageal irritation and ulceration.</w:t>
      </w:r>
    </w:p>
    <w:p w:rsidR="00C80C04" w:rsidRPr="0028121D" w:rsidRDefault="00C80C04" w:rsidP="0028121D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B53665" w:rsidRDefault="008F02B6" w:rsidP="008F02B6">
      <w:pPr>
        <w:autoSpaceDE w:val="0"/>
        <w:autoSpaceDN w:val="0"/>
        <w:bidi w:val="0"/>
        <w:adjustRightInd w:val="0"/>
        <w:spacing w:after="0" w:line="240" w:lineRule="auto"/>
        <w:ind w:left="284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D-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If a patient </w:t>
      </w:r>
      <w:r w:rsidR="00B53665" w:rsidRPr="00B45CA3">
        <w:rPr>
          <w:rFonts w:asciiTheme="majorBidi" w:hAnsiTheme="majorBidi" w:cstheme="majorBidi"/>
          <w:b/>
          <w:bCs/>
          <w:color w:val="333333"/>
          <w:sz w:val="28"/>
          <w:szCs w:val="28"/>
        </w:rPr>
        <w:t>misses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B53665" w:rsidRPr="00B45CA3">
        <w:rPr>
          <w:rFonts w:asciiTheme="majorBidi" w:hAnsiTheme="majorBidi" w:cstheme="majorBidi"/>
          <w:b/>
          <w:bCs/>
          <w:color w:val="333333"/>
          <w:sz w:val="28"/>
          <w:szCs w:val="28"/>
        </w:rPr>
        <w:t>a weekly dose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, it can be taken the next day. If more than 1 day has elapsed, that dose is skipped. If a patient </w:t>
      </w:r>
      <w:r w:rsidR="00B53665" w:rsidRPr="00B45CA3">
        <w:rPr>
          <w:rFonts w:asciiTheme="majorBidi" w:hAnsiTheme="majorBidi" w:cstheme="majorBidi"/>
          <w:b/>
          <w:bCs/>
          <w:color w:val="333333"/>
          <w:sz w:val="28"/>
          <w:szCs w:val="28"/>
        </w:rPr>
        <w:t>misses a monthly</w:t>
      </w:r>
      <w:r w:rsidR="00C80C04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>dose, it can be taken up to 7 days before the next scheduled dose.</w:t>
      </w:r>
    </w:p>
    <w:p w:rsidR="00C80C04" w:rsidRPr="0028121D" w:rsidRDefault="00C80C04" w:rsidP="00C80C0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C80C04" w:rsidRDefault="00F1217D" w:rsidP="00C80C0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lastRenderedPageBreak/>
        <w:t>6</w:t>
      </w:r>
      <w:r w:rsidR="008F02B6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The most common bisphosphonate adverse effects include nausea, abdominal pain, and dyspepsia. </w:t>
      </w:r>
      <w:r w:rsidR="00B53665" w:rsidRPr="00B45CA3">
        <w:rPr>
          <w:rFonts w:asciiTheme="majorBidi" w:hAnsiTheme="majorBidi" w:cstheme="majorBidi"/>
          <w:b/>
          <w:bCs/>
          <w:color w:val="333333"/>
          <w:sz w:val="28"/>
          <w:szCs w:val="28"/>
        </w:rPr>
        <w:t>Esophageal, gastric, or duodenal irritation,</w:t>
      </w:r>
      <w:r w:rsidR="00C80C04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perforation, ulceration, or bleeding may occur. </w:t>
      </w:r>
    </w:p>
    <w:p w:rsidR="00C80C04" w:rsidRPr="0028121D" w:rsidRDefault="00C80C04" w:rsidP="00C80C0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B53665" w:rsidRPr="00B53665" w:rsidRDefault="00F1217D" w:rsidP="00C80C0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7</w:t>
      </w:r>
      <w:r w:rsidR="008F02B6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The most common adverse effects of </w:t>
      </w:r>
      <w:r w:rsidR="00B53665" w:rsidRPr="00B45CA3">
        <w:rPr>
          <w:rFonts w:asciiTheme="majorBidi" w:hAnsiTheme="majorBidi" w:cstheme="majorBidi"/>
          <w:b/>
          <w:bCs/>
          <w:color w:val="333333"/>
          <w:sz w:val="28"/>
          <w:szCs w:val="28"/>
        </w:rPr>
        <w:t>IV bisphosphonates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 include </w:t>
      </w:r>
      <w:r w:rsidR="00B53665" w:rsidRPr="00B45CA3">
        <w:rPr>
          <w:rFonts w:asciiTheme="majorBidi" w:hAnsiTheme="majorBidi" w:cstheme="majorBidi"/>
          <w:b/>
          <w:bCs/>
          <w:color w:val="333333"/>
          <w:sz w:val="28"/>
          <w:szCs w:val="28"/>
        </w:rPr>
        <w:t>fever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, </w:t>
      </w:r>
      <w:r w:rsidR="00B53665" w:rsidRPr="00B45CA3">
        <w:rPr>
          <w:rFonts w:asciiTheme="majorBidi" w:hAnsiTheme="majorBidi" w:cstheme="majorBidi"/>
          <w:b/>
          <w:bCs/>
          <w:color w:val="333333"/>
          <w:sz w:val="28"/>
          <w:szCs w:val="28"/>
        </w:rPr>
        <w:t>flu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B53665" w:rsidRPr="00B45CA3">
        <w:rPr>
          <w:rFonts w:asciiTheme="majorBidi" w:hAnsiTheme="majorBidi" w:cstheme="majorBidi"/>
          <w:b/>
          <w:bCs/>
          <w:color w:val="333333"/>
          <w:sz w:val="28"/>
          <w:szCs w:val="28"/>
        </w:rPr>
        <w:t>like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B53665" w:rsidRPr="00B45CA3">
        <w:rPr>
          <w:rFonts w:asciiTheme="majorBidi" w:hAnsiTheme="majorBidi" w:cstheme="majorBidi"/>
          <w:b/>
          <w:bCs/>
          <w:color w:val="333333"/>
          <w:sz w:val="28"/>
          <w:szCs w:val="28"/>
        </w:rPr>
        <w:t>symptoms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>, and</w:t>
      </w:r>
      <w:r w:rsidR="00C80C04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B53665" w:rsidRPr="00B45CA3">
        <w:rPr>
          <w:rFonts w:asciiTheme="majorBidi" w:hAnsiTheme="majorBidi" w:cstheme="majorBidi"/>
          <w:b/>
          <w:bCs/>
          <w:color w:val="333333"/>
          <w:sz w:val="28"/>
          <w:szCs w:val="28"/>
        </w:rPr>
        <w:t>local injection-site reactions.</w:t>
      </w:r>
    </w:p>
    <w:p w:rsidR="00C80C04" w:rsidRPr="0028121D" w:rsidRDefault="00C80C04" w:rsidP="00B5366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B53665" w:rsidRPr="00B53665" w:rsidRDefault="00F1217D" w:rsidP="00634940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8</w:t>
      </w:r>
      <w:r w:rsidR="008F02B6" w:rsidRPr="00AC23F1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B53665" w:rsidRPr="00AC23F1">
        <w:rPr>
          <w:rFonts w:asciiTheme="majorBidi" w:hAnsiTheme="majorBidi" w:cstheme="majorBidi"/>
          <w:b/>
          <w:bCs/>
          <w:color w:val="333333"/>
          <w:sz w:val="28"/>
          <w:szCs w:val="28"/>
        </w:rPr>
        <w:t>The optimal duration of bisphosphonate therapy is unknown</w:t>
      </w:r>
      <w:r w:rsidR="00B53665" w:rsidRPr="00AC23F1">
        <w:rPr>
          <w:rFonts w:asciiTheme="majorBidi" w:hAnsiTheme="majorBidi" w:cstheme="majorBidi"/>
          <w:color w:val="333333"/>
          <w:sz w:val="28"/>
          <w:szCs w:val="28"/>
        </w:rPr>
        <w:t xml:space="preserve">. </w:t>
      </w:r>
    </w:p>
    <w:p w:rsidR="00B53665" w:rsidRPr="0028121D" w:rsidRDefault="00B53665" w:rsidP="00B5366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B53665" w:rsidRPr="00AA2269" w:rsidRDefault="00B53665" w:rsidP="009E4FFB">
      <w:pPr>
        <w:autoSpaceDE w:val="0"/>
        <w:autoSpaceDN w:val="0"/>
        <w:bidi w:val="0"/>
        <w:adjustRightInd w:val="0"/>
        <w:spacing w:after="0" w:line="240" w:lineRule="auto"/>
        <w:jc w:val="both"/>
        <w:outlineLvl w:val="3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proofErr w:type="spellStart"/>
      <w:r w:rsidRPr="00AA2269">
        <w:rPr>
          <w:rFonts w:asciiTheme="majorBidi" w:hAnsiTheme="majorBidi" w:cstheme="majorBidi"/>
          <w:b/>
          <w:bCs/>
          <w:color w:val="0000FF"/>
          <w:sz w:val="32"/>
          <w:szCs w:val="32"/>
        </w:rPr>
        <w:t>Denosumab</w:t>
      </w:r>
      <w:proofErr w:type="spellEnd"/>
    </w:p>
    <w:p w:rsidR="00B53665" w:rsidRDefault="008F02B6" w:rsidP="00542C60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>Denosumab</w:t>
      </w:r>
      <w:r w:rsidR="00C80C04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is a RANK ligand inhibitor that </w:t>
      </w:r>
      <w:r w:rsidR="00B53665" w:rsidRPr="00B45CA3">
        <w:rPr>
          <w:rFonts w:asciiTheme="majorBidi" w:hAnsiTheme="majorBidi" w:cstheme="majorBidi"/>
          <w:b/>
          <w:bCs/>
          <w:color w:val="333333"/>
          <w:sz w:val="28"/>
          <w:szCs w:val="28"/>
        </w:rPr>
        <w:t>inhibits osteoclast formation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 and </w:t>
      </w:r>
      <w:r w:rsidR="00B53665" w:rsidRPr="00B45CA3">
        <w:rPr>
          <w:rFonts w:asciiTheme="majorBidi" w:hAnsiTheme="majorBidi" w:cstheme="majorBidi"/>
          <w:b/>
          <w:bCs/>
          <w:color w:val="333333"/>
          <w:sz w:val="28"/>
          <w:szCs w:val="28"/>
        </w:rPr>
        <w:t>increases osteoclast apoptosis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>. It is indicated for treatment</w:t>
      </w:r>
      <w:r w:rsidR="00C80C04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>of osteoporosis in women and men</w:t>
      </w:r>
      <w:r w:rsidR="00542C60">
        <w:rPr>
          <w:rFonts w:asciiTheme="majorBidi" w:hAnsiTheme="majorBidi" w:cstheme="majorBidi"/>
          <w:color w:val="333333"/>
          <w:sz w:val="28"/>
          <w:szCs w:val="28"/>
        </w:rPr>
        <w:t>.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</w:p>
    <w:p w:rsidR="00C80C04" w:rsidRPr="0028121D" w:rsidRDefault="00C80C04" w:rsidP="00C80C0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B53665" w:rsidRPr="00B53665" w:rsidRDefault="00634940" w:rsidP="00C80C0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2-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Denosumab is </w:t>
      </w:r>
      <w:r w:rsidR="00B53665" w:rsidRPr="00B45CA3">
        <w:rPr>
          <w:rFonts w:asciiTheme="majorBidi" w:hAnsiTheme="majorBidi" w:cstheme="majorBidi"/>
          <w:b/>
          <w:bCs/>
          <w:color w:val="333333"/>
          <w:sz w:val="28"/>
          <w:szCs w:val="28"/>
        </w:rPr>
        <w:t>contraindicated in patients with hypocalcemia until the condition is corrected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C80C04" w:rsidRPr="0028121D" w:rsidRDefault="00C80C04" w:rsidP="00B5366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B53665" w:rsidRPr="00AA2269" w:rsidRDefault="00B53665" w:rsidP="009E4FFB">
      <w:pPr>
        <w:autoSpaceDE w:val="0"/>
        <w:autoSpaceDN w:val="0"/>
        <w:bidi w:val="0"/>
        <w:adjustRightInd w:val="0"/>
        <w:spacing w:after="0" w:line="240" w:lineRule="auto"/>
        <w:jc w:val="both"/>
        <w:outlineLvl w:val="3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AA2269">
        <w:rPr>
          <w:rFonts w:asciiTheme="majorBidi" w:hAnsiTheme="majorBidi" w:cstheme="majorBidi"/>
          <w:b/>
          <w:bCs/>
          <w:color w:val="0000FF"/>
          <w:sz w:val="32"/>
          <w:szCs w:val="32"/>
        </w:rPr>
        <w:t>Mixed Estrogen Agonists/Antagonists and Tissue-Selective Estrogen Complexes</w:t>
      </w:r>
    </w:p>
    <w:p w:rsidR="005F2019" w:rsidRDefault="005077D3" w:rsidP="005F201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B53665" w:rsidRPr="00B45CA3">
        <w:rPr>
          <w:rFonts w:asciiTheme="majorBidi" w:hAnsiTheme="majorBidi" w:cstheme="majorBidi"/>
          <w:b/>
          <w:bCs/>
          <w:color w:val="333333"/>
          <w:sz w:val="28"/>
          <w:szCs w:val="28"/>
        </w:rPr>
        <w:t>Raloxifene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 is an estrogen agonist/antagonist that is </w:t>
      </w:r>
      <w:r w:rsidR="00B53665" w:rsidRPr="00B45CA3">
        <w:rPr>
          <w:rFonts w:asciiTheme="majorBidi" w:hAnsiTheme="majorBidi" w:cstheme="majorBidi"/>
          <w:b/>
          <w:bCs/>
          <w:color w:val="333333"/>
          <w:sz w:val="28"/>
          <w:szCs w:val="28"/>
        </w:rPr>
        <w:t>an estrogen agonist on bone receptors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 but an antagonist at breast receptors, with</w:t>
      </w:r>
      <w:r w:rsidR="005F2019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minimal effects on the uterus. </w:t>
      </w:r>
    </w:p>
    <w:p w:rsidR="005F2019" w:rsidRPr="0028121D" w:rsidRDefault="005F2019" w:rsidP="005F201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B53665" w:rsidRPr="00B53665" w:rsidRDefault="005077D3" w:rsidP="00542C60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2-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It is approved for prevention and treatment of </w:t>
      </w:r>
      <w:r w:rsidR="00B53665" w:rsidRPr="00B45CA3">
        <w:rPr>
          <w:rFonts w:asciiTheme="majorBidi" w:hAnsiTheme="majorBidi" w:cstheme="majorBidi"/>
          <w:b/>
          <w:bCs/>
          <w:color w:val="333333"/>
          <w:sz w:val="28"/>
          <w:szCs w:val="28"/>
        </w:rPr>
        <w:t>postmenopausal osteoporosis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542C60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5F2019" w:rsidRPr="0028121D" w:rsidRDefault="005F2019" w:rsidP="00B5366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B53665" w:rsidRPr="00B53665" w:rsidRDefault="005077D3" w:rsidP="00634940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3-</w:t>
      </w:r>
      <w:r w:rsidR="00B53665" w:rsidRPr="00B45CA3">
        <w:rPr>
          <w:rFonts w:asciiTheme="majorBidi" w:hAnsiTheme="majorBidi" w:cstheme="majorBidi"/>
          <w:b/>
          <w:bCs/>
          <w:color w:val="333333"/>
          <w:sz w:val="28"/>
          <w:szCs w:val="28"/>
        </w:rPr>
        <w:t>Bazedoxifene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 is an estrogen agonist/antagonist that is an </w:t>
      </w:r>
      <w:r w:rsidR="00B53665" w:rsidRPr="002C77A4">
        <w:rPr>
          <w:rFonts w:asciiTheme="majorBidi" w:hAnsiTheme="majorBidi" w:cstheme="majorBidi"/>
          <w:b/>
          <w:bCs/>
          <w:color w:val="333333"/>
          <w:sz w:val="28"/>
          <w:szCs w:val="28"/>
        </w:rPr>
        <w:t>agonist at bone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 and antagonist at the uterus and breast; however,</w:t>
      </w:r>
      <w:r w:rsidR="00D72515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D72515" w:rsidRPr="00634940">
        <w:rPr>
          <w:rFonts w:asciiTheme="majorBidi" w:hAnsiTheme="majorBidi" w:cstheme="majorBidi"/>
          <w:color w:val="333333"/>
          <w:sz w:val="28"/>
          <w:szCs w:val="28"/>
        </w:rPr>
        <w:t>reduction in breast cancer risk has not yet been demonstrated.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 The proprietary product </w:t>
      </w:r>
      <w:proofErr w:type="spellStart"/>
      <w:r w:rsidR="00B53665" w:rsidRPr="002C77A4">
        <w:rPr>
          <w:rFonts w:asciiTheme="majorBidi" w:hAnsiTheme="majorBidi" w:cstheme="majorBidi"/>
          <w:b/>
          <w:bCs/>
          <w:color w:val="333333"/>
          <w:sz w:val="28"/>
          <w:szCs w:val="28"/>
        </w:rPr>
        <w:t>Duavee</w:t>
      </w:r>
      <w:proofErr w:type="spellEnd"/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 is combined with conjugated equine estrogens (</w:t>
      </w:r>
      <w:r w:rsidR="00B53665" w:rsidRPr="002C77A4">
        <w:rPr>
          <w:rFonts w:asciiTheme="majorBidi" w:hAnsiTheme="majorBidi" w:cstheme="majorBidi"/>
          <w:b/>
          <w:bCs/>
          <w:color w:val="333333"/>
          <w:sz w:val="28"/>
          <w:szCs w:val="28"/>
        </w:rPr>
        <w:t>CEE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>), making it a tissue-selective</w:t>
      </w:r>
      <w:r w:rsidR="005F2019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estrogen complex. It </w:t>
      </w:r>
      <w:r w:rsidR="00B53665" w:rsidRPr="002C77A4">
        <w:rPr>
          <w:rFonts w:asciiTheme="majorBidi" w:hAnsiTheme="majorBidi" w:cstheme="majorBidi"/>
          <w:b/>
          <w:bCs/>
          <w:color w:val="333333"/>
          <w:sz w:val="28"/>
          <w:szCs w:val="28"/>
        </w:rPr>
        <w:t>is approved for prevention of postmenopausal osteoporosis and vasomotor menstrual symptoms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5F2019" w:rsidRPr="0028121D" w:rsidRDefault="005F2019" w:rsidP="00B5366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B53665" w:rsidRPr="00AA2269" w:rsidRDefault="00B53665" w:rsidP="009E4FFB">
      <w:pPr>
        <w:autoSpaceDE w:val="0"/>
        <w:autoSpaceDN w:val="0"/>
        <w:bidi w:val="0"/>
        <w:adjustRightInd w:val="0"/>
        <w:spacing w:after="0" w:line="240" w:lineRule="auto"/>
        <w:jc w:val="both"/>
        <w:outlineLvl w:val="3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AA2269">
        <w:rPr>
          <w:rFonts w:asciiTheme="majorBidi" w:hAnsiTheme="majorBidi" w:cstheme="majorBidi"/>
          <w:b/>
          <w:bCs/>
          <w:color w:val="0000FF"/>
          <w:sz w:val="32"/>
          <w:szCs w:val="32"/>
        </w:rPr>
        <w:t>Calcitonin</w:t>
      </w:r>
    </w:p>
    <w:p w:rsidR="00D72515" w:rsidRDefault="00D72515" w:rsidP="00D7251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634940">
        <w:rPr>
          <w:rFonts w:asciiTheme="majorBidi" w:hAnsiTheme="majorBidi" w:cstheme="majorBidi"/>
          <w:color w:val="333333"/>
          <w:sz w:val="28"/>
          <w:szCs w:val="28"/>
        </w:rPr>
        <w:t xml:space="preserve">Calcitonin is FDA approved for osteoporosis treatment for women at least 5 years past menopause. </w:t>
      </w:r>
      <w:bookmarkStart w:id="0" w:name="_GoBack"/>
      <w:r w:rsidRPr="002A06DE">
        <w:rPr>
          <w:rFonts w:asciiTheme="majorBidi" w:hAnsiTheme="majorBidi" w:cstheme="majorBidi"/>
          <w:b/>
          <w:bCs/>
          <w:color w:val="333333"/>
          <w:sz w:val="28"/>
          <w:szCs w:val="28"/>
        </w:rPr>
        <w:t>Calcitonin is considered as a last line therapy</w:t>
      </w:r>
      <w:r w:rsidRPr="00634940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bookmarkEnd w:id="0"/>
      <w:r w:rsidRPr="00634940">
        <w:rPr>
          <w:rFonts w:asciiTheme="majorBidi" w:hAnsiTheme="majorBidi" w:cstheme="majorBidi"/>
          <w:color w:val="333333"/>
          <w:sz w:val="28"/>
          <w:szCs w:val="28"/>
        </w:rPr>
        <w:t>because there are more effective treatment options.</w:t>
      </w:r>
    </w:p>
    <w:p w:rsidR="00D72515" w:rsidRPr="00634940" w:rsidRDefault="00D72515" w:rsidP="00D7251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B53665" w:rsidRPr="00AA2269" w:rsidRDefault="00B53665" w:rsidP="009E4FFB">
      <w:pPr>
        <w:autoSpaceDE w:val="0"/>
        <w:autoSpaceDN w:val="0"/>
        <w:bidi w:val="0"/>
        <w:adjustRightInd w:val="0"/>
        <w:spacing w:after="0" w:line="240" w:lineRule="auto"/>
        <w:jc w:val="both"/>
        <w:outlineLvl w:val="3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AA2269">
        <w:rPr>
          <w:rFonts w:asciiTheme="majorBidi" w:hAnsiTheme="majorBidi" w:cstheme="majorBidi"/>
          <w:b/>
          <w:bCs/>
          <w:color w:val="0000FF"/>
          <w:sz w:val="32"/>
          <w:szCs w:val="32"/>
        </w:rPr>
        <w:t>Hormone Therapies</w:t>
      </w:r>
    </w:p>
    <w:p w:rsidR="00B53665" w:rsidRPr="00B53665" w:rsidRDefault="00634940" w:rsidP="00D7251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634940"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D72515" w:rsidRPr="00634940">
        <w:rPr>
          <w:rFonts w:asciiTheme="majorBidi" w:hAnsiTheme="majorBidi" w:cstheme="majorBidi"/>
          <w:color w:val="333333"/>
          <w:sz w:val="28"/>
          <w:szCs w:val="28"/>
        </w:rPr>
        <w:t>Estrogen therapy is FDA approved for prevention of postmenopausal osteoporosis but not for treatment.</w:t>
      </w:r>
      <w:r w:rsidR="00D72515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Estrogen therapy can be a good choice for </w:t>
      </w:r>
      <w:r w:rsidR="00B53665" w:rsidRPr="002C77A4">
        <w:rPr>
          <w:rFonts w:asciiTheme="majorBidi" w:hAnsiTheme="majorBidi" w:cstheme="majorBidi"/>
          <w:b/>
          <w:bCs/>
          <w:color w:val="333333"/>
          <w:sz w:val="28"/>
          <w:szCs w:val="28"/>
        </w:rPr>
        <w:t>women going through early menopause when protection against bone loss is needed</w:t>
      </w:r>
      <w:r w:rsidR="005F2019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>in addition to reduction of vasomotor symptoms.</w:t>
      </w:r>
    </w:p>
    <w:p w:rsidR="005F2019" w:rsidRPr="0028121D" w:rsidRDefault="005F2019" w:rsidP="00B5366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B53665" w:rsidRPr="00B53665" w:rsidRDefault="00634940" w:rsidP="005F201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</w:t>
      </w:r>
      <w:r w:rsidR="002C1D9C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B53665" w:rsidRPr="002C77A4">
        <w:rPr>
          <w:rFonts w:asciiTheme="majorBidi" w:hAnsiTheme="majorBidi" w:cstheme="majorBidi"/>
          <w:b/>
          <w:bCs/>
          <w:color w:val="333333"/>
          <w:sz w:val="28"/>
          <w:szCs w:val="28"/>
        </w:rPr>
        <w:t>Testosterone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 is used to treat hypogonadism in men, </w:t>
      </w:r>
      <w:r w:rsidR="00B53665" w:rsidRPr="002C77A4">
        <w:rPr>
          <w:rFonts w:asciiTheme="majorBidi" w:hAnsiTheme="majorBidi" w:cstheme="majorBidi"/>
          <w:b/>
          <w:bCs/>
          <w:color w:val="333333"/>
          <w:sz w:val="28"/>
          <w:szCs w:val="28"/>
        </w:rPr>
        <w:t>but an osteoporosis medication should be added when risk for osteoporotic fracture is high.</w:t>
      </w:r>
    </w:p>
    <w:p w:rsidR="00440364" w:rsidRPr="0028121D" w:rsidRDefault="00440364" w:rsidP="00B5366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B53665" w:rsidRPr="00AA2269" w:rsidRDefault="00B53665" w:rsidP="009E4FFB">
      <w:pPr>
        <w:autoSpaceDE w:val="0"/>
        <w:autoSpaceDN w:val="0"/>
        <w:bidi w:val="0"/>
        <w:adjustRightInd w:val="0"/>
        <w:spacing w:after="0" w:line="240" w:lineRule="auto"/>
        <w:jc w:val="both"/>
        <w:outlineLvl w:val="2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AA2269">
        <w:rPr>
          <w:rFonts w:asciiTheme="majorBidi" w:hAnsiTheme="majorBidi" w:cstheme="majorBidi"/>
          <w:b/>
          <w:bCs/>
          <w:color w:val="FF0000"/>
          <w:sz w:val="32"/>
          <w:szCs w:val="32"/>
        </w:rPr>
        <w:t>Formation Medications</w:t>
      </w:r>
    </w:p>
    <w:p w:rsidR="00B53665" w:rsidRPr="00AA2269" w:rsidRDefault="00B53665" w:rsidP="009E4FFB">
      <w:pPr>
        <w:autoSpaceDE w:val="0"/>
        <w:autoSpaceDN w:val="0"/>
        <w:bidi w:val="0"/>
        <w:adjustRightInd w:val="0"/>
        <w:spacing w:after="0" w:line="240" w:lineRule="auto"/>
        <w:jc w:val="both"/>
        <w:outlineLvl w:val="3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AA2269">
        <w:rPr>
          <w:rFonts w:asciiTheme="majorBidi" w:hAnsiTheme="majorBidi" w:cstheme="majorBidi"/>
          <w:b/>
          <w:bCs/>
          <w:color w:val="0000FF"/>
          <w:sz w:val="32"/>
          <w:szCs w:val="32"/>
        </w:rPr>
        <w:t>Parathyroid Hormone Analogs</w:t>
      </w:r>
    </w:p>
    <w:p w:rsidR="00440364" w:rsidRDefault="002C1D9C" w:rsidP="002C1D9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B53665" w:rsidRPr="005C333D">
        <w:rPr>
          <w:rFonts w:asciiTheme="majorBidi" w:hAnsiTheme="majorBidi" w:cstheme="majorBidi"/>
          <w:b/>
          <w:bCs/>
          <w:color w:val="333333"/>
          <w:sz w:val="28"/>
          <w:szCs w:val="28"/>
        </w:rPr>
        <w:t>Abaloparatide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 is an analog of parathyroid hormone-related peptide (</w:t>
      </w:r>
      <w:proofErr w:type="spellStart"/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>PTHrP</w:t>
      </w:r>
      <w:proofErr w:type="spellEnd"/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), and </w:t>
      </w:r>
      <w:proofErr w:type="spellStart"/>
      <w:r w:rsidR="00B53665" w:rsidRPr="005C333D">
        <w:rPr>
          <w:rFonts w:asciiTheme="majorBidi" w:hAnsiTheme="majorBidi" w:cstheme="majorBidi"/>
          <w:b/>
          <w:bCs/>
          <w:color w:val="333333"/>
          <w:sz w:val="28"/>
          <w:szCs w:val="28"/>
        </w:rPr>
        <w:t>teriparatide</w:t>
      </w:r>
      <w:proofErr w:type="spellEnd"/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440364">
        <w:rPr>
          <w:rFonts w:asciiTheme="majorBidi" w:hAnsiTheme="majorBidi" w:cstheme="majorBidi"/>
          <w:color w:val="333333"/>
          <w:sz w:val="28"/>
          <w:szCs w:val="28"/>
        </w:rPr>
        <w:t xml:space="preserve">is an 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>analogs of parathyroid hormone (PTH); these agents are indicated for the treatment of</w:t>
      </w:r>
      <w:r w:rsidR="00440364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>postmenopausal women with osteoporosis at high risk for fracture</w:t>
      </w:r>
      <w:r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440364" w:rsidRPr="0028121D" w:rsidRDefault="00440364" w:rsidP="0044036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B53665" w:rsidRPr="00B53665" w:rsidRDefault="002C1D9C" w:rsidP="00634940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2-</w:t>
      </w:r>
      <w:r w:rsidR="00B53665" w:rsidRPr="005C333D">
        <w:rPr>
          <w:rFonts w:asciiTheme="majorBidi" w:hAnsiTheme="majorBidi" w:cstheme="majorBidi"/>
          <w:b/>
          <w:bCs/>
          <w:color w:val="333333"/>
          <w:sz w:val="28"/>
          <w:szCs w:val="28"/>
        </w:rPr>
        <w:t>Transient hypercalcemia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 can occur</w:t>
      </w:r>
      <w:r w:rsidR="00634940">
        <w:rPr>
          <w:rFonts w:asciiTheme="majorBidi" w:hAnsiTheme="majorBidi" w:cstheme="majorBidi"/>
          <w:color w:val="333333"/>
          <w:sz w:val="28"/>
          <w:szCs w:val="28"/>
        </w:rPr>
        <w:t xml:space="preserve">. 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PTH analogs should </w:t>
      </w:r>
      <w:r w:rsidR="00B53665" w:rsidRPr="005C333D">
        <w:rPr>
          <w:rFonts w:asciiTheme="majorBidi" w:hAnsiTheme="majorBidi" w:cstheme="majorBidi"/>
          <w:b/>
          <w:bCs/>
          <w:color w:val="333333"/>
          <w:sz w:val="28"/>
          <w:szCs w:val="28"/>
        </w:rPr>
        <w:t>not be used in patients with hypercalcemia</w:t>
      </w:r>
      <w:r w:rsidR="005A3CE7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440364" w:rsidRPr="0028121D" w:rsidRDefault="00440364" w:rsidP="00B5366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B53665" w:rsidRPr="00AA2269" w:rsidRDefault="00B53665" w:rsidP="009E4FFB">
      <w:pPr>
        <w:autoSpaceDE w:val="0"/>
        <w:autoSpaceDN w:val="0"/>
        <w:bidi w:val="0"/>
        <w:adjustRightInd w:val="0"/>
        <w:spacing w:after="0" w:line="240" w:lineRule="auto"/>
        <w:jc w:val="both"/>
        <w:outlineLvl w:val="2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AA2269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Formation and </w:t>
      </w:r>
      <w:proofErr w:type="spellStart"/>
      <w:r w:rsidRPr="00AA2269">
        <w:rPr>
          <w:rFonts w:asciiTheme="majorBidi" w:hAnsiTheme="majorBidi" w:cstheme="majorBidi"/>
          <w:b/>
          <w:bCs/>
          <w:color w:val="FF0000"/>
          <w:sz w:val="32"/>
          <w:szCs w:val="32"/>
        </w:rPr>
        <w:t>Antiresorptive</w:t>
      </w:r>
      <w:proofErr w:type="spellEnd"/>
      <w:r w:rsidRPr="00AA2269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 Medication</w:t>
      </w:r>
    </w:p>
    <w:p w:rsidR="00B53665" w:rsidRPr="00AA2269" w:rsidRDefault="00B53665" w:rsidP="009E4FFB">
      <w:pPr>
        <w:autoSpaceDE w:val="0"/>
        <w:autoSpaceDN w:val="0"/>
        <w:bidi w:val="0"/>
        <w:adjustRightInd w:val="0"/>
        <w:spacing w:after="0" w:line="240" w:lineRule="auto"/>
        <w:jc w:val="both"/>
        <w:outlineLvl w:val="3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proofErr w:type="spellStart"/>
      <w:r w:rsidRPr="00AA2269">
        <w:rPr>
          <w:rFonts w:asciiTheme="majorBidi" w:hAnsiTheme="majorBidi" w:cstheme="majorBidi"/>
          <w:b/>
          <w:bCs/>
          <w:color w:val="0000FF"/>
          <w:sz w:val="32"/>
          <w:szCs w:val="32"/>
        </w:rPr>
        <w:t>Romosozumab</w:t>
      </w:r>
      <w:proofErr w:type="spellEnd"/>
    </w:p>
    <w:p w:rsidR="00440364" w:rsidRDefault="002C1D9C" w:rsidP="002C1D9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>Romosozumab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B53665" w:rsidRPr="005C333D">
        <w:rPr>
          <w:rFonts w:asciiTheme="majorBidi" w:hAnsiTheme="majorBidi" w:cstheme="majorBidi"/>
          <w:b/>
          <w:bCs/>
          <w:color w:val="333333"/>
          <w:sz w:val="28"/>
          <w:szCs w:val="28"/>
        </w:rPr>
        <w:t>prevent inhibition of bone formation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 and </w:t>
      </w:r>
      <w:r w:rsidR="00B53665" w:rsidRPr="005C333D">
        <w:rPr>
          <w:rFonts w:asciiTheme="majorBidi" w:hAnsiTheme="majorBidi" w:cstheme="majorBidi"/>
          <w:b/>
          <w:bCs/>
          <w:color w:val="333333"/>
          <w:sz w:val="28"/>
          <w:szCs w:val="28"/>
        </w:rPr>
        <w:t>decrease</w:t>
      </w:r>
      <w:r w:rsidR="00440364" w:rsidRPr="005C333D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B53665" w:rsidRPr="005C333D">
        <w:rPr>
          <w:rFonts w:asciiTheme="majorBidi" w:hAnsiTheme="majorBidi" w:cstheme="majorBidi"/>
          <w:b/>
          <w:bCs/>
          <w:color w:val="333333"/>
          <w:sz w:val="28"/>
          <w:szCs w:val="28"/>
        </w:rPr>
        <w:t>bone resorption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, an activity that differentiates this medication from other anabolic therapies. </w:t>
      </w:r>
    </w:p>
    <w:p w:rsidR="00440364" w:rsidRPr="0028121D" w:rsidRDefault="00440364" w:rsidP="0044036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2C1D9C" w:rsidRDefault="002C1D9C" w:rsidP="002C1D9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2-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>It indicated for postmenopausal women at high risk</w:t>
      </w:r>
      <w:r w:rsidR="00440364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>for fracture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. </w:t>
      </w:r>
    </w:p>
    <w:p w:rsidR="002C1D9C" w:rsidRPr="0028121D" w:rsidRDefault="002C1D9C" w:rsidP="002C1D9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B53665" w:rsidRPr="00AA2269" w:rsidRDefault="00B53665" w:rsidP="009E4FFB">
      <w:pPr>
        <w:autoSpaceDE w:val="0"/>
        <w:autoSpaceDN w:val="0"/>
        <w:bidi w:val="0"/>
        <w:adjustRightInd w:val="0"/>
        <w:spacing w:after="0" w:line="240" w:lineRule="auto"/>
        <w:jc w:val="both"/>
        <w:outlineLvl w:val="2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AA2269">
        <w:rPr>
          <w:rFonts w:asciiTheme="majorBidi" w:hAnsiTheme="majorBidi" w:cstheme="majorBidi"/>
          <w:b/>
          <w:bCs/>
          <w:color w:val="FF0000"/>
          <w:sz w:val="32"/>
          <w:szCs w:val="32"/>
        </w:rPr>
        <w:t>Sequential and Combination Therapy</w:t>
      </w:r>
    </w:p>
    <w:p w:rsidR="00634940" w:rsidRDefault="002C1D9C" w:rsidP="00634940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  <w:highlight w:val="yellow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In sequential therapy, </w:t>
      </w:r>
      <w:r w:rsidR="00B53665" w:rsidRPr="005C333D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an anabolic agent is given first to increase bone mass, followed by an </w:t>
      </w:r>
      <w:proofErr w:type="spellStart"/>
      <w:r w:rsidR="00B53665" w:rsidRPr="005C333D">
        <w:rPr>
          <w:rFonts w:asciiTheme="majorBidi" w:hAnsiTheme="majorBidi" w:cstheme="majorBidi"/>
          <w:b/>
          <w:bCs/>
          <w:color w:val="333333"/>
          <w:sz w:val="28"/>
          <w:szCs w:val="28"/>
        </w:rPr>
        <w:t>antiresorptive</w:t>
      </w:r>
      <w:proofErr w:type="spellEnd"/>
      <w:r w:rsidR="00B53665" w:rsidRPr="005C333D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agent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. </w:t>
      </w:r>
    </w:p>
    <w:p w:rsidR="00C80C04" w:rsidRPr="0028121D" w:rsidRDefault="00C80C04" w:rsidP="00C80C0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C80C04" w:rsidRDefault="00634940" w:rsidP="002C1D9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</w:t>
      </w:r>
      <w:r w:rsidR="002C1D9C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B53665" w:rsidRPr="005C333D">
        <w:rPr>
          <w:rFonts w:asciiTheme="majorBidi" w:hAnsiTheme="majorBidi" w:cstheme="majorBidi"/>
          <w:b/>
          <w:bCs/>
          <w:color w:val="333333"/>
          <w:sz w:val="28"/>
          <w:szCs w:val="28"/>
        </w:rPr>
        <w:t>Combination therapy is rarely used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 because of no documented fracture benefit, increased cost, </w:t>
      </w:r>
      <w:r w:rsidR="00C80C04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and potential for more adverse effects. </w:t>
      </w:r>
    </w:p>
    <w:p w:rsidR="00C80C04" w:rsidRPr="0028121D" w:rsidRDefault="00C80C04" w:rsidP="00C80C0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B53665" w:rsidRPr="00AA2269" w:rsidRDefault="00AA2269" w:rsidP="009E4FFB">
      <w:pPr>
        <w:autoSpaceDE w:val="0"/>
        <w:autoSpaceDN w:val="0"/>
        <w:bidi w:val="0"/>
        <w:adjustRightInd w:val="0"/>
        <w:spacing w:after="0" w:line="240" w:lineRule="auto"/>
        <w:jc w:val="both"/>
        <w:outlineLvl w:val="2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AA2269">
        <w:rPr>
          <w:rFonts w:asciiTheme="majorBidi" w:hAnsiTheme="majorBidi" w:cstheme="majorBidi"/>
          <w:b/>
          <w:bCs/>
          <w:color w:val="FF0000"/>
          <w:sz w:val="32"/>
          <w:szCs w:val="32"/>
        </w:rPr>
        <w:t>Glucocorticoid-induced osteoporosis</w:t>
      </w:r>
    </w:p>
    <w:p w:rsidR="00B53665" w:rsidRPr="00B53665" w:rsidRDefault="0028121D" w:rsidP="00C80C0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>Glucocorticoids decrease bone formation through decreased proliferation and differentiation as well as enhanced apoptosis of osteoblasts. They</w:t>
      </w:r>
      <w:r w:rsidR="00C80C04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>also increase the number of osteoclasts, increase bone resorption, decrease calcium absorption, and increase renal calcium excretion.</w:t>
      </w:r>
    </w:p>
    <w:p w:rsidR="00C80C04" w:rsidRPr="0028121D" w:rsidRDefault="00C80C04" w:rsidP="00B5366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B53665" w:rsidRPr="00B53665" w:rsidRDefault="0028121D" w:rsidP="00634940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2-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All glucocorticoid doses and formulations have been associated with increased bone loss and fractures; however, </w:t>
      </w:r>
      <w:r w:rsidR="00B53665" w:rsidRPr="005C333D">
        <w:rPr>
          <w:rFonts w:asciiTheme="majorBidi" w:hAnsiTheme="majorBidi" w:cstheme="majorBidi"/>
          <w:b/>
          <w:bCs/>
          <w:color w:val="333333"/>
          <w:sz w:val="28"/>
          <w:szCs w:val="28"/>
        </w:rPr>
        <w:t>risk is much greater with oral</w:t>
      </w:r>
      <w:r w:rsidR="00C80C04" w:rsidRPr="005C333D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B53665" w:rsidRPr="005C333D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prednisone doses </w:t>
      </w:r>
      <w:r w:rsidR="00B53665" w:rsidRPr="005C333D">
        <w:rPr>
          <w:rFonts w:asciiTheme="majorBidi" w:hAnsiTheme="majorBidi" w:cstheme="majorBidi" w:hint="cs"/>
          <w:b/>
          <w:bCs/>
          <w:color w:val="333333"/>
          <w:sz w:val="28"/>
          <w:szCs w:val="28"/>
        </w:rPr>
        <w:t>≥</w:t>
      </w:r>
      <w:r w:rsidR="00B53665" w:rsidRPr="005C333D">
        <w:rPr>
          <w:rFonts w:asciiTheme="majorBidi" w:hAnsiTheme="majorBidi" w:cstheme="majorBidi"/>
          <w:b/>
          <w:bCs/>
          <w:color w:val="333333"/>
          <w:sz w:val="28"/>
          <w:szCs w:val="28"/>
        </w:rPr>
        <w:t>5 mg daily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 (or equivalent) and </w:t>
      </w:r>
      <w:r w:rsidR="00B53665" w:rsidRPr="005C333D">
        <w:rPr>
          <w:rFonts w:asciiTheme="majorBidi" w:hAnsiTheme="majorBidi" w:cstheme="majorBidi"/>
          <w:b/>
          <w:bCs/>
          <w:color w:val="333333"/>
          <w:sz w:val="28"/>
          <w:szCs w:val="28"/>
        </w:rPr>
        <w:t>oral therapy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1969B6" w:rsidRPr="00634940">
        <w:rPr>
          <w:rFonts w:asciiTheme="majorBidi" w:hAnsiTheme="majorBidi" w:cstheme="majorBidi"/>
          <w:color w:val="333333"/>
          <w:sz w:val="28"/>
          <w:szCs w:val="28"/>
        </w:rPr>
        <w:t xml:space="preserve">compared to 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>inhaler or intranasal therapy.</w:t>
      </w:r>
    </w:p>
    <w:p w:rsidR="00C80C04" w:rsidRPr="0028121D" w:rsidRDefault="00C80C04" w:rsidP="00B5366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C80C04" w:rsidRDefault="00634940" w:rsidP="00C80C0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3</w:t>
      </w:r>
      <w:r w:rsidR="0028121D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B53665" w:rsidRPr="005C333D">
        <w:rPr>
          <w:rFonts w:asciiTheme="majorBidi" w:hAnsiTheme="majorBidi" w:cstheme="majorBidi"/>
          <w:b/>
          <w:bCs/>
          <w:color w:val="333333"/>
          <w:sz w:val="28"/>
          <w:szCs w:val="28"/>
        </w:rPr>
        <w:t>All patients starting or receiving systemic glucocorticoid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 therapy (any dose or duration) </w:t>
      </w:r>
      <w:r w:rsidR="00B53665" w:rsidRPr="005C333D">
        <w:rPr>
          <w:rFonts w:asciiTheme="majorBidi" w:hAnsiTheme="majorBidi" w:cstheme="majorBidi"/>
          <w:b/>
          <w:bCs/>
          <w:color w:val="333333"/>
          <w:sz w:val="28"/>
          <w:szCs w:val="28"/>
        </w:rPr>
        <w:t>should practice a bone-healthy lifestyle and ingest 1000</w:t>
      </w:r>
      <w:r w:rsidR="00B53665" w:rsidRPr="005C333D">
        <w:rPr>
          <w:rFonts w:asciiTheme="majorBidi" w:hAnsiTheme="majorBidi" w:cstheme="majorBidi" w:hint="cs"/>
          <w:b/>
          <w:bCs/>
          <w:color w:val="333333"/>
          <w:sz w:val="28"/>
          <w:szCs w:val="28"/>
        </w:rPr>
        <w:t>–</w:t>
      </w:r>
      <w:r w:rsidR="00B53665" w:rsidRPr="005C333D">
        <w:rPr>
          <w:rFonts w:asciiTheme="majorBidi" w:hAnsiTheme="majorBidi" w:cstheme="majorBidi"/>
          <w:b/>
          <w:bCs/>
          <w:color w:val="333333"/>
          <w:sz w:val="28"/>
          <w:szCs w:val="28"/>
        </w:rPr>
        <w:t>1200 mg elemental calcium and 600</w:t>
      </w:r>
      <w:r w:rsidR="00B53665" w:rsidRPr="005C333D">
        <w:rPr>
          <w:rFonts w:asciiTheme="majorBidi" w:hAnsiTheme="majorBidi" w:cstheme="majorBidi" w:hint="cs"/>
          <w:b/>
          <w:bCs/>
          <w:color w:val="333333"/>
          <w:sz w:val="28"/>
          <w:szCs w:val="28"/>
        </w:rPr>
        <w:t>–</w:t>
      </w:r>
      <w:r w:rsidR="00B53665" w:rsidRPr="005C333D">
        <w:rPr>
          <w:rFonts w:asciiTheme="majorBidi" w:hAnsiTheme="majorBidi" w:cstheme="majorBidi"/>
          <w:b/>
          <w:bCs/>
          <w:color w:val="333333"/>
          <w:sz w:val="28"/>
          <w:szCs w:val="28"/>
        </w:rPr>
        <w:t>800 units of vitamin D daily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 to achieve therapeutic 25-hydroxyvitamin D concentrations. </w:t>
      </w:r>
    </w:p>
    <w:p w:rsidR="00C80C04" w:rsidRPr="0028121D" w:rsidRDefault="00C80C04" w:rsidP="00C80C0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B53665" w:rsidRPr="00B53665" w:rsidRDefault="00634940" w:rsidP="00C80C0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4</w:t>
      </w:r>
      <w:r w:rsidR="0028121D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Use </w:t>
      </w:r>
      <w:r w:rsidR="00B53665" w:rsidRPr="005C333D">
        <w:rPr>
          <w:rFonts w:asciiTheme="majorBidi" w:hAnsiTheme="majorBidi" w:cstheme="majorBidi"/>
          <w:b/>
          <w:bCs/>
          <w:color w:val="333333"/>
          <w:sz w:val="28"/>
          <w:szCs w:val="28"/>
        </w:rPr>
        <w:t>the lowest</w:t>
      </w:r>
      <w:r w:rsidR="00C80C04" w:rsidRPr="005C333D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B53665" w:rsidRPr="005C333D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possible corticosteroid dose </w:t>
      </w:r>
      <w:r w:rsidR="00B53665" w:rsidRPr="005C333D">
        <w:rPr>
          <w:rFonts w:asciiTheme="majorBidi" w:hAnsiTheme="majorBidi" w:cstheme="majorBidi"/>
          <w:color w:val="333333"/>
          <w:sz w:val="28"/>
          <w:szCs w:val="28"/>
        </w:rPr>
        <w:t>and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B53665" w:rsidRPr="005C333D">
        <w:rPr>
          <w:rFonts w:asciiTheme="majorBidi" w:hAnsiTheme="majorBidi" w:cstheme="majorBidi"/>
          <w:b/>
          <w:bCs/>
          <w:color w:val="333333"/>
          <w:sz w:val="28"/>
          <w:szCs w:val="28"/>
        </w:rPr>
        <w:t>duration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C80C04" w:rsidRPr="0028121D" w:rsidRDefault="00C80C04" w:rsidP="00B5366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B53665" w:rsidRPr="00B53665" w:rsidRDefault="00634940" w:rsidP="005A3CE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5</w:t>
      </w:r>
      <w:r w:rsidR="0028121D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B53665" w:rsidRPr="005C333D">
        <w:rPr>
          <w:rFonts w:asciiTheme="majorBidi" w:hAnsiTheme="majorBidi" w:cstheme="majorBidi"/>
          <w:b/>
          <w:bCs/>
          <w:color w:val="333333"/>
          <w:sz w:val="28"/>
          <w:szCs w:val="28"/>
        </w:rPr>
        <w:t>Alendronate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, </w:t>
      </w:r>
      <w:proofErr w:type="spellStart"/>
      <w:r w:rsidR="00B53665" w:rsidRPr="005C333D">
        <w:rPr>
          <w:rFonts w:asciiTheme="majorBidi" w:hAnsiTheme="majorBidi" w:cstheme="majorBidi"/>
          <w:b/>
          <w:bCs/>
          <w:color w:val="333333"/>
          <w:sz w:val="28"/>
          <w:szCs w:val="28"/>
        </w:rPr>
        <w:t>risedronate</w:t>
      </w:r>
      <w:proofErr w:type="spellEnd"/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, </w:t>
      </w:r>
      <w:proofErr w:type="spellStart"/>
      <w:r w:rsidR="00B53665" w:rsidRPr="005C333D">
        <w:rPr>
          <w:rFonts w:asciiTheme="majorBidi" w:hAnsiTheme="majorBidi" w:cstheme="majorBidi"/>
          <w:b/>
          <w:bCs/>
          <w:color w:val="333333"/>
          <w:sz w:val="28"/>
          <w:szCs w:val="28"/>
        </w:rPr>
        <w:t>zoledronic</w:t>
      </w:r>
      <w:proofErr w:type="spellEnd"/>
      <w:r w:rsidR="00C80C04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acid, </w:t>
      </w:r>
      <w:proofErr w:type="spellStart"/>
      <w:r w:rsidR="00B53665" w:rsidRPr="005C333D">
        <w:rPr>
          <w:rFonts w:asciiTheme="majorBidi" w:hAnsiTheme="majorBidi" w:cstheme="majorBidi"/>
          <w:b/>
          <w:bCs/>
          <w:color w:val="333333"/>
          <w:sz w:val="28"/>
          <w:szCs w:val="28"/>
        </w:rPr>
        <w:t>denosumab</w:t>
      </w:r>
      <w:proofErr w:type="spellEnd"/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, and </w:t>
      </w:r>
      <w:proofErr w:type="spellStart"/>
      <w:r w:rsidR="00B53665" w:rsidRPr="005C333D">
        <w:rPr>
          <w:rFonts w:asciiTheme="majorBidi" w:hAnsiTheme="majorBidi" w:cstheme="majorBidi"/>
          <w:b/>
          <w:bCs/>
          <w:color w:val="333333"/>
          <w:sz w:val="28"/>
          <w:szCs w:val="28"/>
        </w:rPr>
        <w:t>teriparatide</w:t>
      </w:r>
      <w:proofErr w:type="spellEnd"/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 are FDA approved for glucocorticoid-induced osteoporosis.</w:t>
      </w:r>
    </w:p>
    <w:p w:rsidR="00C80C04" w:rsidRPr="0028121D" w:rsidRDefault="00C80C04" w:rsidP="00B5366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C80C04" w:rsidRDefault="00634940" w:rsidP="005A3CE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6</w:t>
      </w:r>
      <w:r w:rsidR="0028121D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B53665" w:rsidRPr="005C333D">
        <w:rPr>
          <w:rFonts w:asciiTheme="majorBidi" w:hAnsiTheme="majorBidi" w:cstheme="majorBidi"/>
          <w:b/>
          <w:bCs/>
          <w:color w:val="333333"/>
          <w:sz w:val="28"/>
          <w:szCs w:val="28"/>
        </w:rPr>
        <w:t>Oral bisphosphonates are recommended first-line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, although </w:t>
      </w:r>
      <w:r w:rsidR="00B53665" w:rsidRPr="005C333D">
        <w:rPr>
          <w:rFonts w:asciiTheme="majorBidi" w:hAnsiTheme="majorBidi" w:cstheme="majorBidi"/>
          <w:b/>
          <w:bCs/>
          <w:color w:val="333333"/>
          <w:sz w:val="28"/>
          <w:szCs w:val="28"/>
        </w:rPr>
        <w:t>IV bisphosphonates can be used in</w:t>
      </w:r>
      <w:r w:rsidR="00C80C04" w:rsidRPr="005C333D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B53665" w:rsidRPr="005C333D">
        <w:rPr>
          <w:rFonts w:asciiTheme="majorBidi" w:hAnsiTheme="majorBidi" w:cstheme="majorBidi"/>
          <w:b/>
          <w:bCs/>
          <w:color w:val="333333"/>
          <w:sz w:val="28"/>
          <w:szCs w:val="28"/>
        </w:rPr>
        <w:t>nonadherent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 patients or those unable to take the oral preparations. </w:t>
      </w:r>
    </w:p>
    <w:p w:rsidR="00C80C04" w:rsidRPr="0028121D" w:rsidRDefault="00C80C04" w:rsidP="00C80C0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C80C04" w:rsidRDefault="00634940" w:rsidP="00C80C0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7</w:t>
      </w:r>
      <w:r w:rsidR="0028121D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B53665" w:rsidRPr="005C333D">
        <w:rPr>
          <w:rFonts w:asciiTheme="majorBidi" w:hAnsiTheme="majorBidi" w:cstheme="majorBidi"/>
          <w:b/>
          <w:bCs/>
          <w:color w:val="333333"/>
          <w:sz w:val="28"/>
          <w:szCs w:val="28"/>
        </w:rPr>
        <w:t>Teriparatide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B53665" w:rsidRPr="005C333D">
        <w:rPr>
          <w:rFonts w:asciiTheme="majorBidi" w:hAnsiTheme="majorBidi" w:cstheme="majorBidi"/>
          <w:b/>
          <w:bCs/>
          <w:color w:val="333333"/>
          <w:sz w:val="28"/>
          <w:szCs w:val="28"/>
        </w:rPr>
        <w:t>is recommended for patients who cannot use a</w:t>
      </w:r>
      <w:r w:rsidR="00C80C04" w:rsidRPr="005C333D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B53665" w:rsidRPr="005C333D">
        <w:rPr>
          <w:rFonts w:asciiTheme="majorBidi" w:hAnsiTheme="majorBidi" w:cstheme="majorBidi"/>
          <w:b/>
          <w:bCs/>
          <w:color w:val="333333"/>
          <w:sz w:val="28"/>
          <w:szCs w:val="28"/>
        </w:rPr>
        <w:t>bisphosphonate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, and </w:t>
      </w:r>
      <w:proofErr w:type="spellStart"/>
      <w:r w:rsidR="00B53665" w:rsidRPr="005C333D">
        <w:rPr>
          <w:rFonts w:asciiTheme="majorBidi" w:hAnsiTheme="majorBidi" w:cstheme="majorBidi"/>
          <w:b/>
          <w:bCs/>
          <w:color w:val="333333"/>
          <w:sz w:val="28"/>
          <w:szCs w:val="28"/>
        </w:rPr>
        <w:t>denosumab</w:t>
      </w:r>
      <w:proofErr w:type="spellEnd"/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 is recommended if neither a bisphosphonate nor </w:t>
      </w:r>
      <w:proofErr w:type="spellStart"/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>teriparatide</w:t>
      </w:r>
      <w:proofErr w:type="spellEnd"/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 can be used. </w:t>
      </w:r>
    </w:p>
    <w:p w:rsidR="00C80C04" w:rsidRPr="0028121D" w:rsidRDefault="00C80C04" w:rsidP="00C80C0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C80C04" w:rsidRPr="005C333D" w:rsidRDefault="00634940" w:rsidP="005A3CE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8</w:t>
      </w:r>
      <w:r w:rsidR="0028121D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>Denosumab is not recommended as</w:t>
      </w:r>
      <w:r w:rsidR="00C80C04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first-line therapy due to </w:t>
      </w:r>
      <w:r w:rsidR="00B53665" w:rsidRPr="005C333D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limited safety data in this population. </w:t>
      </w:r>
    </w:p>
    <w:p w:rsidR="00C80C04" w:rsidRPr="0028121D" w:rsidRDefault="00C80C04" w:rsidP="00C80C0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8D5E15" w:rsidRPr="004A73A6" w:rsidRDefault="008D5E15" w:rsidP="000746C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45125D" w:rsidRPr="00022299" w:rsidRDefault="00022299" w:rsidP="009E4FFB">
      <w:pPr>
        <w:autoSpaceDE w:val="0"/>
        <w:autoSpaceDN w:val="0"/>
        <w:bidi w:val="0"/>
        <w:adjustRightInd w:val="0"/>
        <w:spacing w:after="0" w:line="240" w:lineRule="auto"/>
        <w:jc w:val="both"/>
        <w:outlineLvl w:val="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E</w:t>
      </w:r>
      <w:r w:rsidRPr="00022299">
        <w:rPr>
          <w:rFonts w:asciiTheme="majorBidi" w:hAnsiTheme="majorBidi" w:cstheme="majorBidi"/>
          <w:b/>
          <w:bCs/>
          <w:color w:val="0000FF"/>
          <w:sz w:val="32"/>
          <w:szCs w:val="32"/>
        </w:rPr>
        <w:t>valuation of therapeutic outcomes</w:t>
      </w:r>
    </w:p>
    <w:p w:rsidR="00B53665" w:rsidRPr="00B53665" w:rsidRDefault="00C80C04" w:rsidP="00B5366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Assess </w:t>
      </w:r>
      <w:r w:rsidR="00B53665" w:rsidRPr="002C77A4">
        <w:rPr>
          <w:rFonts w:asciiTheme="majorBidi" w:hAnsiTheme="majorBidi" w:cstheme="majorBidi"/>
          <w:b/>
          <w:bCs/>
          <w:color w:val="333333"/>
          <w:sz w:val="28"/>
          <w:szCs w:val="28"/>
        </w:rPr>
        <w:t>medication adherence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 and </w:t>
      </w:r>
      <w:r w:rsidR="00B53665" w:rsidRPr="002C77A4">
        <w:rPr>
          <w:rFonts w:asciiTheme="majorBidi" w:hAnsiTheme="majorBidi" w:cstheme="majorBidi"/>
          <w:b/>
          <w:bCs/>
          <w:color w:val="333333"/>
          <w:sz w:val="28"/>
          <w:szCs w:val="28"/>
        </w:rPr>
        <w:t>tolerability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 at each visit.</w:t>
      </w:r>
    </w:p>
    <w:p w:rsidR="00C80C04" w:rsidRPr="0028121D" w:rsidRDefault="00C80C04" w:rsidP="00B5366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B53665" w:rsidRPr="00B53665" w:rsidRDefault="00C80C04" w:rsidP="005A3CE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2-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Ask patients about </w:t>
      </w:r>
      <w:r w:rsidR="00B53665" w:rsidRPr="002C77A4">
        <w:rPr>
          <w:rFonts w:asciiTheme="majorBidi" w:hAnsiTheme="majorBidi" w:cstheme="majorBidi"/>
          <w:b/>
          <w:bCs/>
          <w:color w:val="333333"/>
          <w:sz w:val="28"/>
          <w:szCs w:val="28"/>
        </w:rPr>
        <w:t>possible fracture symptoms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 (</w:t>
      </w:r>
      <w:proofErr w:type="spellStart"/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>eg</w:t>
      </w:r>
      <w:proofErr w:type="spellEnd"/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>, bone pain, disability) at each visit.</w:t>
      </w:r>
    </w:p>
    <w:p w:rsidR="00C80C04" w:rsidRPr="0028121D" w:rsidRDefault="00C80C04" w:rsidP="00B5366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C80C04" w:rsidRDefault="002C77A4" w:rsidP="00C80C0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3-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>Obtain a central DXA BMD measurement after 1</w:t>
      </w:r>
      <w:r w:rsidR="00B53665" w:rsidRPr="00B53665">
        <w:rPr>
          <w:rFonts w:asciiTheme="majorBidi" w:hAnsiTheme="majorBidi" w:cstheme="majorBidi" w:hint="cs"/>
          <w:color w:val="333333"/>
          <w:sz w:val="28"/>
          <w:szCs w:val="28"/>
        </w:rPr>
        <w:t>–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>2 years or 3</w:t>
      </w:r>
      <w:r w:rsidR="00B53665" w:rsidRPr="00B53665">
        <w:rPr>
          <w:rFonts w:asciiTheme="majorBidi" w:hAnsiTheme="majorBidi" w:cstheme="majorBidi" w:hint="cs"/>
          <w:color w:val="333333"/>
          <w:sz w:val="28"/>
          <w:szCs w:val="28"/>
        </w:rPr>
        <w:t>–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5 years after initiating a medication therapy to monitor response. </w:t>
      </w:r>
    </w:p>
    <w:p w:rsidR="00C80C04" w:rsidRPr="0028121D" w:rsidRDefault="00C80C04" w:rsidP="00C80C0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B527DA" w:rsidRDefault="002C77A4" w:rsidP="005C333D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lastRenderedPageBreak/>
        <w:t>4-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>Repeat a central</w:t>
      </w:r>
      <w:r w:rsidR="00C80C04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B53665" w:rsidRPr="005C333D">
        <w:rPr>
          <w:rFonts w:asciiTheme="majorBidi" w:hAnsiTheme="majorBidi" w:cstheme="majorBidi"/>
          <w:b/>
          <w:bCs/>
          <w:color w:val="333333"/>
          <w:sz w:val="28"/>
          <w:szCs w:val="28"/>
        </w:rPr>
        <w:t>DXA every 2 years until BMD is stable</w:t>
      </w:r>
      <w:r w:rsidR="00B53665" w:rsidRPr="00B53665">
        <w:rPr>
          <w:rFonts w:asciiTheme="majorBidi" w:hAnsiTheme="majorBidi" w:cstheme="majorBidi"/>
          <w:color w:val="333333"/>
          <w:sz w:val="28"/>
          <w:szCs w:val="28"/>
        </w:rPr>
        <w:t xml:space="preserve">, at which time the reassessment interval can be lengthened. </w:t>
      </w:r>
    </w:p>
    <w:p w:rsidR="00B53665" w:rsidRPr="0028121D" w:rsidRDefault="00B53665" w:rsidP="00B5366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B53665" w:rsidRDefault="00B53665" w:rsidP="00B5366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</w:p>
    <w:p w:rsidR="00B527DA" w:rsidRDefault="00B527DA" w:rsidP="00B527D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B527DA">
        <w:rPr>
          <w:rFonts w:asciiTheme="majorBidi" w:hAnsiTheme="majorBidi" w:cstheme="majorBidi"/>
          <w:b/>
          <w:bCs/>
          <w:color w:val="FF0000"/>
          <w:sz w:val="28"/>
          <w:szCs w:val="28"/>
        </w:rPr>
        <w:t>Reference</w:t>
      </w:r>
    </w:p>
    <w:p w:rsidR="00B527DA" w:rsidRPr="00B527DA" w:rsidRDefault="00B527DA" w:rsidP="00B527D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 w:rsidRPr="00B527DA">
        <w:rPr>
          <w:rFonts w:asciiTheme="majorBidi" w:hAnsiTheme="majorBidi" w:cstheme="majorBidi"/>
          <w:b/>
          <w:bCs/>
          <w:color w:val="333333"/>
          <w:sz w:val="28"/>
          <w:szCs w:val="28"/>
        </w:rPr>
        <w:t>Joseph T. DiPiro, Robert L. Pharmacotherapy: A Pathophysiologic Approach,</w:t>
      </w:r>
    </w:p>
    <w:p w:rsidR="00B527DA" w:rsidRPr="00B527DA" w:rsidRDefault="00B527DA" w:rsidP="00634940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 w:rsidRPr="00B527DA">
        <w:rPr>
          <w:rFonts w:asciiTheme="majorBidi" w:hAnsiTheme="majorBidi" w:cstheme="majorBidi"/>
          <w:b/>
          <w:bCs/>
          <w:color w:val="333333"/>
          <w:sz w:val="28"/>
          <w:szCs w:val="28"/>
        </w:rPr>
        <w:t>1</w:t>
      </w:r>
      <w:r w:rsidR="00634940">
        <w:rPr>
          <w:rFonts w:asciiTheme="majorBidi" w:hAnsiTheme="majorBidi" w:cstheme="majorBidi"/>
          <w:b/>
          <w:bCs/>
          <w:color w:val="333333"/>
          <w:sz w:val="28"/>
          <w:szCs w:val="28"/>
        </w:rPr>
        <w:t>2</w:t>
      </w:r>
      <w:r w:rsidRPr="00B527DA">
        <w:rPr>
          <w:rFonts w:asciiTheme="majorBidi" w:hAnsiTheme="majorBidi" w:cstheme="majorBidi"/>
          <w:b/>
          <w:bCs/>
          <w:color w:val="333333"/>
          <w:sz w:val="28"/>
          <w:szCs w:val="28"/>
          <w:vertAlign w:val="superscript"/>
        </w:rPr>
        <w:t>th</w:t>
      </w:r>
      <w:r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Pr="00B527DA">
        <w:rPr>
          <w:rFonts w:asciiTheme="majorBidi" w:hAnsiTheme="majorBidi" w:cstheme="majorBidi"/>
          <w:b/>
          <w:bCs/>
          <w:color w:val="333333"/>
          <w:sz w:val="28"/>
          <w:szCs w:val="28"/>
        </w:rPr>
        <w:t>Edition. 202</w:t>
      </w:r>
      <w:r w:rsidR="00634940">
        <w:rPr>
          <w:rFonts w:asciiTheme="majorBidi" w:hAnsiTheme="majorBidi" w:cstheme="majorBidi"/>
          <w:b/>
          <w:bCs/>
          <w:color w:val="333333"/>
          <w:sz w:val="28"/>
          <w:szCs w:val="28"/>
        </w:rPr>
        <w:t>3</w:t>
      </w:r>
      <w:r w:rsidRPr="00B527DA">
        <w:rPr>
          <w:rFonts w:asciiTheme="majorBidi" w:hAnsiTheme="majorBidi" w:cstheme="majorBidi"/>
          <w:b/>
          <w:bCs/>
          <w:color w:val="333333"/>
          <w:sz w:val="28"/>
          <w:szCs w:val="28"/>
        </w:rPr>
        <w:t>.</w:t>
      </w:r>
    </w:p>
    <w:sectPr w:rsidR="00B527DA" w:rsidRPr="00B527DA" w:rsidSect="0045125D">
      <w:footerReference w:type="default" r:id="rId9"/>
      <w:pgSz w:w="11906" w:h="16838"/>
      <w:pgMar w:top="426" w:right="707" w:bottom="993" w:left="851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4A59" w:rsidRDefault="00BF4A59" w:rsidP="009C79FE">
      <w:pPr>
        <w:spacing w:after="0" w:line="240" w:lineRule="auto"/>
      </w:pPr>
      <w:r>
        <w:separator/>
      </w:r>
    </w:p>
  </w:endnote>
  <w:endnote w:type="continuationSeparator" w:id="0">
    <w:p w:rsidR="00BF4A59" w:rsidRDefault="00BF4A59" w:rsidP="009C7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21889130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46CE" w:rsidRDefault="000746C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A06DE">
          <w:rPr>
            <w:noProof/>
            <w:rtl/>
          </w:rPr>
          <w:t>6</w:t>
        </w:r>
        <w:r>
          <w:rPr>
            <w:noProof/>
          </w:rPr>
          <w:fldChar w:fldCharType="end"/>
        </w:r>
      </w:p>
    </w:sdtContent>
  </w:sdt>
  <w:p w:rsidR="000746CE" w:rsidRDefault="000746C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4A59" w:rsidRDefault="00BF4A59" w:rsidP="009C79FE">
      <w:pPr>
        <w:spacing w:after="0" w:line="240" w:lineRule="auto"/>
      </w:pPr>
      <w:r>
        <w:separator/>
      </w:r>
    </w:p>
  </w:footnote>
  <w:footnote w:type="continuationSeparator" w:id="0">
    <w:p w:rsidR="00BF4A59" w:rsidRDefault="00BF4A59" w:rsidP="009C79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D333B"/>
    <w:multiLevelType w:val="multilevel"/>
    <w:tmpl w:val="3E8A8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185CA6"/>
    <w:multiLevelType w:val="multilevel"/>
    <w:tmpl w:val="22C42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B53481"/>
    <w:multiLevelType w:val="multilevel"/>
    <w:tmpl w:val="D0608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265938"/>
    <w:multiLevelType w:val="multilevel"/>
    <w:tmpl w:val="E572C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0B08D5"/>
    <w:multiLevelType w:val="multilevel"/>
    <w:tmpl w:val="288E2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4325B7"/>
    <w:multiLevelType w:val="multilevel"/>
    <w:tmpl w:val="504CC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AA5C53"/>
    <w:multiLevelType w:val="hybridMultilevel"/>
    <w:tmpl w:val="59E88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CC532D"/>
    <w:multiLevelType w:val="hybridMultilevel"/>
    <w:tmpl w:val="4A6C67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0928CC"/>
    <w:multiLevelType w:val="multilevel"/>
    <w:tmpl w:val="8466C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ED23984"/>
    <w:multiLevelType w:val="hybridMultilevel"/>
    <w:tmpl w:val="89923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0"/>
  </w:num>
  <w:num w:numId="7">
    <w:abstractNumId w:val="1"/>
  </w:num>
  <w:num w:numId="8">
    <w:abstractNumId w:val="6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EC1"/>
    <w:rsid w:val="00014020"/>
    <w:rsid w:val="00022299"/>
    <w:rsid w:val="00051B16"/>
    <w:rsid w:val="000534C4"/>
    <w:rsid w:val="000746CE"/>
    <w:rsid w:val="00085EC1"/>
    <w:rsid w:val="000A39DD"/>
    <w:rsid w:val="000D6AAF"/>
    <w:rsid w:val="000F5D8E"/>
    <w:rsid w:val="00126BAA"/>
    <w:rsid w:val="001369C1"/>
    <w:rsid w:val="001467B2"/>
    <w:rsid w:val="0018108D"/>
    <w:rsid w:val="001835C9"/>
    <w:rsid w:val="00185811"/>
    <w:rsid w:val="001969B6"/>
    <w:rsid w:val="001A0CEA"/>
    <w:rsid w:val="001A4491"/>
    <w:rsid w:val="001C7900"/>
    <w:rsid w:val="001E6AD2"/>
    <w:rsid w:val="001F3F9F"/>
    <w:rsid w:val="00202D23"/>
    <w:rsid w:val="0023109D"/>
    <w:rsid w:val="002379A2"/>
    <w:rsid w:val="00240FC2"/>
    <w:rsid w:val="00247479"/>
    <w:rsid w:val="0028121D"/>
    <w:rsid w:val="00293D7B"/>
    <w:rsid w:val="002A06DE"/>
    <w:rsid w:val="002A56DF"/>
    <w:rsid w:val="002B5652"/>
    <w:rsid w:val="002C1D9C"/>
    <w:rsid w:val="002C77A4"/>
    <w:rsid w:val="002F42C5"/>
    <w:rsid w:val="00307E17"/>
    <w:rsid w:val="00324617"/>
    <w:rsid w:val="00324E72"/>
    <w:rsid w:val="003310D9"/>
    <w:rsid w:val="00337A94"/>
    <w:rsid w:val="00347D77"/>
    <w:rsid w:val="00394517"/>
    <w:rsid w:val="003C1E95"/>
    <w:rsid w:val="003D563D"/>
    <w:rsid w:val="003E24EA"/>
    <w:rsid w:val="003F1A57"/>
    <w:rsid w:val="003F21B7"/>
    <w:rsid w:val="003F5F6F"/>
    <w:rsid w:val="003F7B07"/>
    <w:rsid w:val="00405882"/>
    <w:rsid w:val="00417F48"/>
    <w:rsid w:val="00420C39"/>
    <w:rsid w:val="00423E59"/>
    <w:rsid w:val="00430B69"/>
    <w:rsid w:val="00432419"/>
    <w:rsid w:val="00440364"/>
    <w:rsid w:val="0045071B"/>
    <w:rsid w:val="0045125D"/>
    <w:rsid w:val="004722A3"/>
    <w:rsid w:val="004752B9"/>
    <w:rsid w:val="0048401C"/>
    <w:rsid w:val="00487060"/>
    <w:rsid w:val="004A73A6"/>
    <w:rsid w:val="004B2945"/>
    <w:rsid w:val="004B6F1E"/>
    <w:rsid w:val="004E1DCC"/>
    <w:rsid w:val="005077D3"/>
    <w:rsid w:val="00516926"/>
    <w:rsid w:val="00542C60"/>
    <w:rsid w:val="005627C5"/>
    <w:rsid w:val="005638DB"/>
    <w:rsid w:val="00583888"/>
    <w:rsid w:val="005A3CE7"/>
    <w:rsid w:val="005C333D"/>
    <w:rsid w:val="005C3F80"/>
    <w:rsid w:val="005D1A07"/>
    <w:rsid w:val="005D3E7B"/>
    <w:rsid w:val="005F2019"/>
    <w:rsid w:val="0063410E"/>
    <w:rsid w:val="00634940"/>
    <w:rsid w:val="0065062A"/>
    <w:rsid w:val="00653546"/>
    <w:rsid w:val="0065403B"/>
    <w:rsid w:val="00655FED"/>
    <w:rsid w:val="00660CED"/>
    <w:rsid w:val="00677897"/>
    <w:rsid w:val="00690A20"/>
    <w:rsid w:val="006977EE"/>
    <w:rsid w:val="006A158E"/>
    <w:rsid w:val="006D0591"/>
    <w:rsid w:val="006F50F4"/>
    <w:rsid w:val="00701BAE"/>
    <w:rsid w:val="00721505"/>
    <w:rsid w:val="007404A7"/>
    <w:rsid w:val="00741490"/>
    <w:rsid w:val="00747F03"/>
    <w:rsid w:val="00761A5B"/>
    <w:rsid w:val="007621C3"/>
    <w:rsid w:val="00773A31"/>
    <w:rsid w:val="007A0A8A"/>
    <w:rsid w:val="007B6004"/>
    <w:rsid w:val="007E1A86"/>
    <w:rsid w:val="007E68A8"/>
    <w:rsid w:val="007F19A1"/>
    <w:rsid w:val="007F3E39"/>
    <w:rsid w:val="00804049"/>
    <w:rsid w:val="00804825"/>
    <w:rsid w:val="008B4BC1"/>
    <w:rsid w:val="008D2536"/>
    <w:rsid w:val="008D5E15"/>
    <w:rsid w:val="008D7966"/>
    <w:rsid w:val="008E28D7"/>
    <w:rsid w:val="008F02B6"/>
    <w:rsid w:val="00926008"/>
    <w:rsid w:val="00946188"/>
    <w:rsid w:val="009608D6"/>
    <w:rsid w:val="00987645"/>
    <w:rsid w:val="009B0D47"/>
    <w:rsid w:val="009B224B"/>
    <w:rsid w:val="009B51F7"/>
    <w:rsid w:val="009C4D71"/>
    <w:rsid w:val="009C79FE"/>
    <w:rsid w:val="009D31BD"/>
    <w:rsid w:val="009E4FFB"/>
    <w:rsid w:val="009E60CC"/>
    <w:rsid w:val="00A07CCC"/>
    <w:rsid w:val="00A26085"/>
    <w:rsid w:val="00A3454C"/>
    <w:rsid w:val="00A4401F"/>
    <w:rsid w:val="00A5155A"/>
    <w:rsid w:val="00A532FE"/>
    <w:rsid w:val="00A542DD"/>
    <w:rsid w:val="00A7600B"/>
    <w:rsid w:val="00A8009A"/>
    <w:rsid w:val="00A83FB6"/>
    <w:rsid w:val="00A966DA"/>
    <w:rsid w:val="00A969AE"/>
    <w:rsid w:val="00AA2269"/>
    <w:rsid w:val="00AB66BE"/>
    <w:rsid w:val="00AC23F1"/>
    <w:rsid w:val="00AD10F0"/>
    <w:rsid w:val="00AD3BD4"/>
    <w:rsid w:val="00AD761C"/>
    <w:rsid w:val="00AE1E84"/>
    <w:rsid w:val="00AF560B"/>
    <w:rsid w:val="00B17CB0"/>
    <w:rsid w:val="00B231A6"/>
    <w:rsid w:val="00B45CA3"/>
    <w:rsid w:val="00B503F7"/>
    <w:rsid w:val="00B527DA"/>
    <w:rsid w:val="00B53665"/>
    <w:rsid w:val="00B75789"/>
    <w:rsid w:val="00B834B0"/>
    <w:rsid w:val="00B94318"/>
    <w:rsid w:val="00BD69C4"/>
    <w:rsid w:val="00BE6797"/>
    <w:rsid w:val="00BF062B"/>
    <w:rsid w:val="00BF4A59"/>
    <w:rsid w:val="00C072DB"/>
    <w:rsid w:val="00C16B99"/>
    <w:rsid w:val="00C2374F"/>
    <w:rsid w:val="00C3347D"/>
    <w:rsid w:val="00C35779"/>
    <w:rsid w:val="00C75F21"/>
    <w:rsid w:val="00C80C04"/>
    <w:rsid w:val="00CB0602"/>
    <w:rsid w:val="00CD0420"/>
    <w:rsid w:val="00D06001"/>
    <w:rsid w:val="00D06DBA"/>
    <w:rsid w:val="00D16FD5"/>
    <w:rsid w:val="00D35FDB"/>
    <w:rsid w:val="00D4331A"/>
    <w:rsid w:val="00D72515"/>
    <w:rsid w:val="00D85713"/>
    <w:rsid w:val="00DA6BB8"/>
    <w:rsid w:val="00DD24DE"/>
    <w:rsid w:val="00DD3B5C"/>
    <w:rsid w:val="00DD3E17"/>
    <w:rsid w:val="00DD4C24"/>
    <w:rsid w:val="00E0566E"/>
    <w:rsid w:val="00E05705"/>
    <w:rsid w:val="00E26382"/>
    <w:rsid w:val="00E407F9"/>
    <w:rsid w:val="00E67F14"/>
    <w:rsid w:val="00E7219D"/>
    <w:rsid w:val="00E90342"/>
    <w:rsid w:val="00EA27D9"/>
    <w:rsid w:val="00EA3500"/>
    <w:rsid w:val="00EA6C80"/>
    <w:rsid w:val="00EB0B76"/>
    <w:rsid w:val="00EB1305"/>
    <w:rsid w:val="00EB2595"/>
    <w:rsid w:val="00EF71B5"/>
    <w:rsid w:val="00F00195"/>
    <w:rsid w:val="00F0769C"/>
    <w:rsid w:val="00F1217D"/>
    <w:rsid w:val="00F27D50"/>
    <w:rsid w:val="00F45CFA"/>
    <w:rsid w:val="00F51847"/>
    <w:rsid w:val="00F73EC3"/>
    <w:rsid w:val="00FA2811"/>
    <w:rsid w:val="00FA558D"/>
    <w:rsid w:val="00FC7499"/>
    <w:rsid w:val="00FD0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C79F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C79FE"/>
    <w:rPr>
      <w:color w:val="800080"/>
      <w:u w:val="single"/>
    </w:rPr>
  </w:style>
  <w:style w:type="paragraph" w:customStyle="1" w:styleId="disclosurelink">
    <w:name w:val="disclosurelink"/>
    <w:basedOn w:val="Normal"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mphasis1">
    <w:name w:val="Emphasis1"/>
    <w:basedOn w:val="DefaultParagraphFont"/>
    <w:rsid w:val="009C79FE"/>
  </w:style>
  <w:style w:type="paragraph" w:customStyle="1" w:styleId="headinganchor">
    <w:name w:val="headinganchor"/>
    <w:basedOn w:val="Normal"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1">
    <w:name w:val="h1"/>
    <w:basedOn w:val="DefaultParagraphFont"/>
    <w:rsid w:val="009C79FE"/>
  </w:style>
  <w:style w:type="character" w:customStyle="1" w:styleId="headingendmark">
    <w:name w:val="headingendmark"/>
    <w:basedOn w:val="DefaultParagraphFont"/>
    <w:rsid w:val="009C79FE"/>
  </w:style>
  <w:style w:type="paragraph" w:styleId="NormalWeb">
    <w:name w:val="Normal (Web)"/>
    <w:basedOn w:val="Normal"/>
    <w:uiPriority w:val="99"/>
    <w:semiHidden/>
    <w:unhideWhenUsed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2">
    <w:name w:val="h2"/>
    <w:basedOn w:val="DefaultParagraphFont"/>
    <w:rsid w:val="009C79FE"/>
  </w:style>
  <w:style w:type="character" w:customStyle="1" w:styleId="nowrap">
    <w:name w:val="nowrap"/>
    <w:basedOn w:val="DefaultParagraphFont"/>
    <w:rsid w:val="009C79FE"/>
  </w:style>
  <w:style w:type="paragraph" w:customStyle="1" w:styleId="bulletindent1">
    <w:name w:val="bulletindent1"/>
    <w:basedOn w:val="Normal"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lyph">
    <w:name w:val="glyph"/>
    <w:basedOn w:val="DefaultParagraphFont"/>
    <w:rsid w:val="009C79FE"/>
  </w:style>
  <w:style w:type="paragraph" w:customStyle="1" w:styleId="bulletindent2">
    <w:name w:val="bulletindent2"/>
    <w:basedOn w:val="Normal"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3">
    <w:name w:val="h3"/>
    <w:basedOn w:val="DefaultParagraphFont"/>
    <w:rsid w:val="009C79FE"/>
  </w:style>
  <w:style w:type="character" w:styleId="Strong">
    <w:name w:val="Strong"/>
    <w:basedOn w:val="DefaultParagraphFont"/>
    <w:uiPriority w:val="22"/>
    <w:qFormat/>
    <w:rsid w:val="009C79FE"/>
    <w:rPr>
      <w:b/>
      <w:bCs/>
    </w:rPr>
  </w:style>
  <w:style w:type="character" w:customStyle="1" w:styleId="h4">
    <w:name w:val="h4"/>
    <w:basedOn w:val="DefaultParagraphFont"/>
    <w:rsid w:val="009C79FE"/>
  </w:style>
  <w:style w:type="paragraph" w:customStyle="1" w:styleId="bulletindent3">
    <w:name w:val="bulletindent3"/>
    <w:basedOn w:val="Normal"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C79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79FE"/>
  </w:style>
  <w:style w:type="paragraph" w:styleId="Footer">
    <w:name w:val="footer"/>
    <w:basedOn w:val="Normal"/>
    <w:link w:val="FooterChar"/>
    <w:uiPriority w:val="99"/>
    <w:unhideWhenUsed/>
    <w:rsid w:val="009C79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79FE"/>
  </w:style>
  <w:style w:type="paragraph" w:styleId="BalloonText">
    <w:name w:val="Balloon Text"/>
    <w:basedOn w:val="Normal"/>
    <w:link w:val="BalloonTextChar"/>
    <w:uiPriority w:val="99"/>
    <w:semiHidden/>
    <w:unhideWhenUsed/>
    <w:rsid w:val="00B83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34B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A27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mphasis2">
    <w:name w:val="Emphasis2"/>
    <w:basedOn w:val="DefaultParagraphFont"/>
    <w:rsid w:val="00D85713"/>
  </w:style>
  <w:style w:type="paragraph" w:styleId="ListParagraph">
    <w:name w:val="List Paragraph"/>
    <w:basedOn w:val="Normal"/>
    <w:uiPriority w:val="34"/>
    <w:qFormat/>
    <w:rsid w:val="001C7900"/>
    <w:pPr>
      <w:ind w:left="720"/>
      <w:contextualSpacing/>
    </w:pPr>
  </w:style>
  <w:style w:type="paragraph" w:customStyle="1" w:styleId="Default">
    <w:name w:val="Default"/>
    <w:rsid w:val="00A969A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C79F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C79FE"/>
    <w:rPr>
      <w:color w:val="800080"/>
      <w:u w:val="single"/>
    </w:rPr>
  </w:style>
  <w:style w:type="paragraph" w:customStyle="1" w:styleId="disclosurelink">
    <w:name w:val="disclosurelink"/>
    <w:basedOn w:val="Normal"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mphasis1">
    <w:name w:val="Emphasis1"/>
    <w:basedOn w:val="DefaultParagraphFont"/>
    <w:rsid w:val="009C79FE"/>
  </w:style>
  <w:style w:type="paragraph" w:customStyle="1" w:styleId="headinganchor">
    <w:name w:val="headinganchor"/>
    <w:basedOn w:val="Normal"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1">
    <w:name w:val="h1"/>
    <w:basedOn w:val="DefaultParagraphFont"/>
    <w:rsid w:val="009C79FE"/>
  </w:style>
  <w:style w:type="character" w:customStyle="1" w:styleId="headingendmark">
    <w:name w:val="headingendmark"/>
    <w:basedOn w:val="DefaultParagraphFont"/>
    <w:rsid w:val="009C79FE"/>
  </w:style>
  <w:style w:type="paragraph" w:styleId="NormalWeb">
    <w:name w:val="Normal (Web)"/>
    <w:basedOn w:val="Normal"/>
    <w:uiPriority w:val="99"/>
    <w:semiHidden/>
    <w:unhideWhenUsed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2">
    <w:name w:val="h2"/>
    <w:basedOn w:val="DefaultParagraphFont"/>
    <w:rsid w:val="009C79FE"/>
  </w:style>
  <w:style w:type="character" w:customStyle="1" w:styleId="nowrap">
    <w:name w:val="nowrap"/>
    <w:basedOn w:val="DefaultParagraphFont"/>
    <w:rsid w:val="009C79FE"/>
  </w:style>
  <w:style w:type="paragraph" w:customStyle="1" w:styleId="bulletindent1">
    <w:name w:val="bulletindent1"/>
    <w:basedOn w:val="Normal"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lyph">
    <w:name w:val="glyph"/>
    <w:basedOn w:val="DefaultParagraphFont"/>
    <w:rsid w:val="009C79FE"/>
  </w:style>
  <w:style w:type="paragraph" w:customStyle="1" w:styleId="bulletindent2">
    <w:name w:val="bulletindent2"/>
    <w:basedOn w:val="Normal"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3">
    <w:name w:val="h3"/>
    <w:basedOn w:val="DefaultParagraphFont"/>
    <w:rsid w:val="009C79FE"/>
  </w:style>
  <w:style w:type="character" w:styleId="Strong">
    <w:name w:val="Strong"/>
    <w:basedOn w:val="DefaultParagraphFont"/>
    <w:uiPriority w:val="22"/>
    <w:qFormat/>
    <w:rsid w:val="009C79FE"/>
    <w:rPr>
      <w:b/>
      <w:bCs/>
    </w:rPr>
  </w:style>
  <w:style w:type="character" w:customStyle="1" w:styleId="h4">
    <w:name w:val="h4"/>
    <w:basedOn w:val="DefaultParagraphFont"/>
    <w:rsid w:val="009C79FE"/>
  </w:style>
  <w:style w:type="paragraph" w:customStyle="1" w:styleId="bulletindent3">
    <w:name w:val="bulletindent3"/>
    <w:basedOn w:val="Normal"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C79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79FE"/>
  </w:style>
  <w:style w:type="paragraph" w:styleId="Footer">
    <w:name w:val="footer"/>
    <w:basedOn w:val="Normal"/>
    <w:link w:val="FooterChar"/>
    <w:uiPriority w:val="99"/>
    <w:unhideWhenUsed/>
    <w:rsid w:val="009C79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79FE"/>
  </w:style>
  <w:style w:type="paragraph" w:styleId="BalloonText">
    <w:name w:val="Balloon Text"/>
    <w:basedOn w:val="Normal"/>
    <w:link w:val="BalloonTextChar"/>
    <w:uiPriority w:val="99"/>
    <w:semiHidden/>
    <w:unhideWhenUsed/>
    <w:rsid w:val="00B83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34B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A27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mphasis2">
    <w:name w:val="Emphasis2"/>
    <w:basedOn w:val="DefaultParagraphFont"/>
    <w:rsid w:val="00D85713"/>
  </w:style>
  <w:style w:type="paragraph" w:styleId="ListParagraph">
    <w:name w:val="List Paragraph"/>
    <w:basedOn w:val="Normal"/>
    <w:uiPriority w:val="34"/>
    <w:qFormat/>
    <w:rsid w:val="001C7900"/>
    <w:pPr>
      <w:ind w:left="720"/>
      <w:contextualSpacing/>
    </w:pPr>
  </w:style>
  <w:style w:type="paragraph" w:customStyle="1" w:styleId="Default">
    <w:name w:val="Default"/>
    <w:rsid w:val="00A969A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0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6002">
          <w:marLeft w:val="0"/>
          <w:marRight w:val="0"/>
          <w:marTop w:val="0"/>
          <w:marBottom w:val="0"/>
          <w:divBdr>
            <w:top w:val="single" w:sz="36" w:space="0" w:color="009966"/>
            <w:left w:val="none" w:sz="0" w:space="0" w:color="auto"/>
            <w:bottom w:val="single" w:sz="12" w:space="0" w:color="009966"/>
            <w:right w:val="none" w:sz="0" w:space="0" w:color="auto"/>
          </w:divBdr>
        </w:div>
        <w:div w:id="332729322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40416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9061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63657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3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51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1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84421">
          <w:marLeft w:val="0"/>
          <w:marRight w:val="0"/>
          <w:marTop w:val="0"/>
          <w:marBottom w:val="0"/>
          <w:divBdr>
            <w:top w:val="single" w:sz="36" w:space="0" w:color="009966"/>
            <w:left w:val="none" w:sz="0" w:space="0" w:color="auto"/>
            <w:bottom w:val="single" w:sz="12" w:space="0" w:color="009966"/>
            <w:right w:val="none" w:sz="0" w:space="0" w:color="auto"/>
          </w:divBdr>
        </w:div>
      </w:divsChild>
    </w:div>
    <w:div w:id="3289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83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38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27975">
          <w:marLeft w:val="0"/>
          <w:marRight w:val="0"/>
          <w:marTop w:val="0"/>
          <w:marBottom w:val="0"/>
          <w:divBdr>
            <w:top w:val="single" w:sz="36" w:space="0" w:color="009966"/>
            <w:left w:val="none" w:sz="0" w:space="0" w:color="auto"/>
            <w:bottom w:val="single" w:sz="12" w:space="0" w:color="009966"/>
            <w:right w:val="none" w:sz="0" w:space="0" w:color="auto"/>
          </w:divBdr>
        </w:div>
      </w:divsChild>
    </w:div>
    <w:div w:id="9905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82283">
          <w:marLeft w:val="0"/>
          <w:marRight w:val="0"/>
          <w:marTop w:val="0"/>
          <w:marBottom w:val="0"/>
          <w:divBdr>
            <w:top w:val="single" w:sz="36" w:space="0" w:color="009966"/>
            <w:left w:val="none" w:sz="0" w:space="0" w:color="auto"/>
            <w:bottom w:val="single" w:sz="12" w:space="0" w:color="009966"/>
            <w:right w:val="none" w:sz="0" w:space="0" w:color="auto"/>
          </w:divBdr>
        </w:div>
      </w:divsChild>
    </w:div>
    <w:div w:id="106348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358685">
          <w:marLeft w:val="0"/>
          <w:marRight w:val="0"/>
          <w:marTop w:val="0"/>
          <w:marBottom w:val="0"/>
          <w:divBdr>
            <w:top w:val="single" w:sz="36" w:space="0" w:color="009966"/>
            <w:left w:val="none" w:sz="0" w:space="0" w:color="auto"/>
            <w:bottom w:val="single" w:sz="12" w:space="0" w:color="009966"/>
            <w:right w:val="none" w:sz="0" w:space="0" w:color="auto"/>
          </w:divBdr>
        </w:div>
        <w:div w:id="1775516675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51403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2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333959">
          <w:marLeft w:val="0"/>
          <w:marRight w:val="0"/>
          <w:marTop w:val="0"/>
          <w:marBottom w:val="0"/>
          <w:divBdr>
            <w:top w:val="single" w:sz="36" w:space="0" w:color="009966"/>
            <w:left w:val="none" w:sz="0" w:space="0" w:color="auto"/>
            <w:bottom w:val="single" w:sz="12" w:space="0" w:color="009966"/>
            <w:right w:val="none" w:sz="0" w:space="0" w:color="auto"/>
          </w:divBdr>
        </w:div>
        <w:div w:id="2047901227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1885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2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075869">
          <w:marLeft w:val="0"/>
          <w:marRight w:val="0"/>
          <w:marTop w:val="0"/>
          <w:marBottom w:val="0"/>
          <w:divBdr>
            <w:top w:val="single" w:sz="36" w:space="0" w:color="009966"/>
            <w:left w:val="none" w:sz="0" w:space="0" w:color="auto"/>
            <w:bottom w:val="single" w:sz="12" w:space="0" w:color="009966"/>
            <w:right w:val="none" w:sz="0" w:space="0" w:color="auto"/>
          </w:divBdr>
        </w:div>
        <w:div w:id="1155344113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0422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6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299012">
          <w:marLeft w:val="0"/>
          <w:marRight w:val="0"/>
          <w:marTop w:val="0"/>
          <w:marBottom w:val="0"/>
          <w:divBdr>
            <w:top w:val="single" w:sz="36" w:space="0" w:color="009966"/>
            <w:left w:val="none" w:sz="0" w:space="0" w:color="auto"/>
            <w:bottom w:val="single" w:sz="12" w:space="0" w:color="009966"/>
            <w:right w:val="none" w:sz="0" w:space="0" w:color="auto"/>
          </w:divBdr>
        </w:div>
        <w:div w:id="1344865304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83764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A31BF9-026A-46B0-B3FB-8B3173AAD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6</Pages>
  <Words>1753</Words>
  <Characters>9993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11723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Maher</dc:creator>
  <cp:lastModifiedBy>Maher</cp:lastModifiedBy>
  <cp:revision>71</cp:revision>
  <cp:lastPrinted>2023-05-06T14:48:00Z</cp:lastPrinted>
  <dcterms:created xsi:type="dcterms:W3CDTF">2020-05-04T12:27:00Z</dcterms:created>
  <dcterms:modified xsi:type="dcterms:W3CDTF">2023-08-14T15:33:00Z</dcterms:modified>
</cp:coreProperties>
</file>