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EB259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EB2595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7F3E39" w:rsidRPr="0045125D" w:rsidRDefault="0045125D" w:rsidP="007F3E3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</w:t>
      </w:r>
      <w:r w:rsidR="007F3E39" w:rsidRPr="00E45D3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Rheumatologic Disorders</w:t>
      </w:r>
    </w:p>
    <w:p w:rsidR="00E0566E" w:rsidRPr="0045125D" w:rsidRDefault="007F3E39" w:rsidP="007F3E3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bidi="ar-IQ"/>
        </w:rPr>
      </w:pPr>
      <w:r w:rsidRPr="006F6B9B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     Osteo</w:t>
      </w:r>
      <w:r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porosis</w:t>
      </w:r>
      <w:r w:rsidRPr="006F6B9B">
        <w:rPr>
          <w:rFonts w:asciiTheme="majorBidi" w:eastAsia="Times New Roman" w:hAnsiTheme="majorBidi" w:cstheme="majorBidi" w:hint="cs"/>
          <w:b/>
          <w:bCs/>
          <w:color w:val="0000FF"/>
          <w:sz w:val="32"/>
          <w:szCs w:val="32"/>
          <w:rtl/>
          <w:lang w:bidi="ar-IQ"/>
        </w:rPr>
        <w:t xml:space="preserve">   </w:t>
      </w:r>
      <w:r w:rsidR="0045125D">
        <w:rPr>
          <w:rFonts w:asciiTheme="majorBidi" w:eastAsia="Times New Roman" w:hAnsiTheme="majorBidi" w:cstheme="majorBidi" w:hint="cs"/>
          <w:b/>
          <w:bCs/>
          <w:color w:val="0000FF"/>
          <w:sz w:val="28"/>
          <w:szCs w:val="28"/>
          <w:rtl/>
          <w:lang w:bidi="ar-IQ"/>
        </w:rPr>
        <w:t xml:space="preserve">   </w:t>
      </w:r>
    </w:p>
    <w:p w:rsidR="0045125D" w:rsidRPr="000746CE" w:rsidRDefault="0045125D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8D5E15" w:rsidRPr="00677897" w:rsidRDefault="00A542DD" w:rsidP="006778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Osteoporosis</w:t>
      </w:r>
      <w:r w:rsidRPr="00677897">
        <w:rPr>
          <w:rFonts w:asciiTheme="majorBidi" w:hAnsiTheme="majorBidi" w:cstheme="majorBidi"/>
          <w:color w:val="333333"/>
          <w:sz w:val="28"/>
          <w:szCs w:val="28"/>
        </w:rPr>
        <w:t xml:space="preserve"> is a bone disorder characterized </w:t>
      </w: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by low bone density</w:t>
      </w:r>
      <w:r w:rsidRPr="0067789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impaired bone architecture</w:t>
      </w:r>
      <w:r w:rsidRPr="0067789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compromised bone strength</w:t>
      </w:r>
      <w:r w:rsidRPr="00677897">
        <w:rPr>
          <w:rFonts w:asciiTheme="majorBidi" w:hAnsiTheme="majorBidi" w:cstheme="majorBidi"/>
          <w:color w:val="333333"/>
          <w:sz w:val="28"/>
          <w:szCs w:val="28"/>
        </w:rPr>
        <w:t xml:space="preserve"> predisposing to </w:t>
      </w: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fracture</w:t>
      </w:r>
      <w:r w:rsidRPr="0067789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53665" w:rsidRPr="0028121D" w:rsidRDefault="00B53665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0746CE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Pathophysiology</w:t>
      </w:r>
    </w:p>
    <w:p w:rsidR="00B53665" w:rsidRDefault="003E24EA" w:rsidP="003E2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Bone loss occurs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resorption exceeds formation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when the bone resorption greatly</w:t>
      </w:r>
      <w:r w:rsid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exceeds the ability of osteoblasts to form new bone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B53665" w:rsidRPr="0028121D" w:rsidRDefault="00B53665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3454C" w:rsidRDefault="003E24EA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Men and women begin to lose bone mass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starting in the third or fourth decade because of reduced bone formation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Estrogen deficiency during</w:t>
      </w:r>
      <w:r w:rsidR="00A3454C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menopause increases osteoclast activity,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increasing bone resorption more than formation. </w:t>
      </w:r>
    </w:p>
    <w:p w:rsidR="00A3454C" w:rsidRPr="0028121D" w:rsidRDefault="00A3454C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3E24EA" w:rsidP="005A3C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Men are at a lower risk for developing osteoporosis</w:t>
      </w:r>
      <w:r w:rsidR="006A15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A158E" w:rsidRPr="00780FB4">
        <w:rPr>
          <w:rFonts w:asciiTheme="majorBidi" w:hAnsiTheme="majorBidi" w:cstheme="majorBidi"/>
          <w:color w:val="333333"/>
          <w:sz w:val="28"/>
          <w:szCs w:val="28"/>
        </w:rPr>
        <w:t>and osteoporotic fractures</w:t>
      </w:r>
      <w:r w:rsidR="005A3CE7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A3454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Male osteoporosis results from aging or secondary causes.</w:t>
      </w:r>
    </w:p>
    <w:p w:rsidR="00A3454C" w:rsidRPr="0028121D" w:rsidRDefault="00A3454C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3E24EA" w:rsidP="003E2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Age-related osteoporosis results from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hormone, calcium, and vitamin D deficiencies; less exercise; and other factors.</w:t>
      </w:r>
    </w:p>
    <w:p w:rsidR="00A3454C" w:rsidRPr="0028121D" w:rsidRDefault="00A3454C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B53665" w:rsidRDefault="003E24EA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Drug-induced osteoporosis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may result from systemic corticosteroids, excessive thyroid hormone replacement, antiepileptic drugs (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phenytoin,</w:t>
      </w:r>
      <w:r w:rsidR="00A3454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phenobarbital), depot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medroxyprogesterone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acetate, and other agents.</w:t>
      </w:r>
      <w:r w:rsidR="000746CE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  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B53665" w:rsidRPr="00B53665" w:rsidRDefault="003E24EA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Many patients are unaware that they have osteoporosis and only present after fracture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 Fractures can occur after bending, lifting, or falling or</w:t>
      </w:r>
      <w:r w:rsidR="00A3454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independent of any activity.</w:t>
      </w:r>
    </w:p>
    <w:p w:rsidR="00A3454C" w:rsidRPr="0028121D" w:rsidRDefault="00A3454C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3454C" w:rsidRDefault="003E24EA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The most common fractures involve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vertebrae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proximal femur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distal radius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(wrist or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Colles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fracture). </w:t>
      </w:r>
    </w:p>
    <w:p w:rsidR="00A3454C" w:rsidRPr="0028121D" w:rsidRDefault="00A3454C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5A3CE7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3E24E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Multiple vertebral fractures decrease height and sometimes curve the spine (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kyphosis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proofErr w:type="spellStart"/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lordosis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A3454C" w:rsidRPr="0028121D" w:rsidRDefault="00A3454C" w:rsidP="00A34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746CE" w:rsidRDefault="005A3CE7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3E24E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Patients with a </w:t>
      </w:r>
      <w:proofErr w:type="spellStart"/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nonvertebral</w:t>
      </w:r>
      <w:proofErr w:type="spellEnd"/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fracture frequently present with severe pain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swelling, and reduced function and mobility at the fracture site.</w:t>
      </w:r>
    </w:p>
    <w:p w:rsidR="003E24EA" w:rsidRPr="0028121D" w:rsidRDefault="003E24EA" w:rsidP="003E2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0746CE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</w:p>
    <w:p w:rsidR="0045125D" w:rsidRDefault="007E1A8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Physical examination findings may include bone pain, postural changes (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kyphosis), and loss of height (&gt;1.5 in [3.8 cm]).</w:t>
      </w:r>
      <w:r w:rsidR="000746CE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7E1A86" w:rsidRPr="007E1A86" w:rsidRDefault="007E1A86" w:rsidP="007E1A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E1A86" w:rsidRPr="007E1A86" w:rsidRDefault="007E1A86" w:rsidP="007E1A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Bone mineral density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8F02B6">
        <w:rPr>
          <w:rFonts w:asciiTheme="majorBidi" w:hAnsiTheme="majorBidi" w:cstheme="majorBidi"/>
          <w:color w:val="333333"/>
          <w:sz w:val="28"/>
          <w:szCs w:val="28"/>
        </w:rPr>
        <w:t>(BMD)</w:t>
      </w:r>
      <w:r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is measured by </w:t>
      </w:r>
      <w:r w:rsidRPr="007E1A86">
        <w:rPr>
          <w:rFonts w:asciiTheme="majorBidi" w:hAnsiTheme="majorBidi" w:cstheme="majorBidi"/>
          <w:color w:val="333333"/>
          <w:sz w:val="28"/>
          <w:szCs w:val="28"/>
        </w:rPr>
        <w:t xml:space="preserve"> dual-energy x-ray absorptiometry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DXA) scan.</w:t>
      </w:r>
    </w:p>
    <w:p w:rsidR="002A06DE" w:rsidRDefault="002A06DE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B53665" w:rsidRDefault="00405882" w:rsidP="002A06DE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AA2269" w:rsidRPr="003E24EA" w:rsidRDefault="00B53665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Goals of Treatment: </w:t>
      </w:r>
    </w:p>
    <w:p w:rsidR="00634940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The primary goal of osteoporosis care is </w:t>
      </w:r>
      <w:r w:rsidR="00B53665" w:rsidRPr="003E24EA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A2269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After low bone mass or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osteoporosis develops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the objective is to stabilize or improve bone mass and strength and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</w:t>
      </w:r>
      <w:r w:rsidR="00AA2269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fractures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B53665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Goals in patients with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osteoporotic fractures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reducing pain and deformity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and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improving quality of life</w:t>
      </w:r>
      <w:r w:rsidR="00405882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A2269" w:rsidRPr="0028121D" w:rsidRDefault="00AA2269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Default="0045125D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B53665" w:rsidRPr="00B53665" w:rsidRDefault="003E24EA" w:rsidP="003E2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All individuals should have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a balanced diet with adequate intake of calcium and</w:t>
      </w:r>
      <w:r w:rsidR="00AA2269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vitamin</w:t>
      </w:r>
      <w:r w:rsidR="007E1A86">
        <w:rPr>
          <w:rFonts w:asciiTheme="majorBidi" w:hAnsiTheme="majorBidi" w:cstheme="majorBidi"/>
          <w:color w:val="333333"/>
          <w:sz w:val="28"/>
          <w:szCs w:val="28"/>
        </w:rPr>
        <w:t xml:space="preserve"> 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Protein is required for bone formation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3E24EA" w:rsidP="002A06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5A3CE7"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5A3CE7" w:rsidRPr="005A3CE7">
        <w:rPr>
          <w:rFonts w:asciiTheme="majorBidi" w:hAnsiTheme="majorBidi" w:cstheme="majorBidi"/>
          <w:b/>
          <w:bCs/>
          <w:color w:val="333333"/>
          <w:sz w:val="28"/>
          <w:szCs w:val="28"/>
        </w:rPr>
        <w:t>Smoking cessation</w:t>
      </w:r>
      <w:r w:rsidR="005A3CE7">
        <w:rPr>
          <w:rFonts w:asciiTheme="majorBidi" w:hAnsiTheme="majorBidi" w:cstheme="majorBidi"/>
          <w:b/>
          <w:bCs/>
          <w:color w:val="333333"/>
          <w:sz w:val="28"/>
          <w:szCs w:val="28"/>
        </w:rPr>
        <w:t>, and reduced a</w:t>
      </w:r>
      <w:r w:rsidR="00B53665" w:rsidRPr="005A3CE7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lcohol </w:t>
      </w:r>
      <w:r w:rsidR="005A3CE7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and caffeine </w:t>
      </w:r>
      <w:r w:rsidR="00B53665" w:rsidRPr="005A3CE7">
        <w:rPr>
          <w:rFonts w:asciiTheme="majorBidi" w:hAnsiTheme="majorBidi" w:cstheme="majorBidi"/>
          <w:b/>
          <w:bCs/>
          <w:color w:val="333333"/>
          <w:sz w:val="28"/>
          <w:szCs w:val="28"/>
        </w:rPr>
        <w:t>consumption</w:t>
      </w:r>
      <w:r w:rsidR="00B53665" w:rsidRPr="005A3C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A3CE7">
        <w:rPr>
          <w:rFonts w:asciiTheme="majorBidi" w:hAnsiTheme="majorBidi" w:cstheme="majorBidi"/>
          <w:color w:val="333333"/>
          <w:sz w:val="28"/>
          <w:szCs w:val="28"/>
        </w:rPr>
        <w:t xml:space="preserve">are recommended.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Weight-bearing aerobic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strengthening exercises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can decrease risk of falls and fractures by improving muscle strength</w:t>
      </w:r>
      <w:r w:rsidR="006349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Fall prevention programs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can decrease falls</w:t>
      </w:r>
      <w:r w:rsidR="00EB2595">
        <w:rPr>
          <w:rFonts w:asciiTheme="majorBidi" w:hAnsiTheme="majorBidi" w:cstheme="majorBidi"/>
          <w:color w:val="333333"/>
          <w:sz w:val="28"/>
          <w:szCs w:val="28"/>
        </w:rPr>
        <w:t xml:space="preserve"> and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fractures</w:t>
      </w:r>
      <w:r w:rsidR="006349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3E24E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Vertebroplasty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kyphoplasty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involve injection of cement into fractured vertebra(e) for patients with debilitating pain from compression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fractures. </w:t>
      </w:r>
      <w:r w:rsidR="00634940" w:rsidRPr="00B53665">
        <w:rPr>
          <w:rFonts w:asciiTheme="majorBidi" w:hAnsiTheme="majorBidi" w:cstheme="majorBidi"/>
          <w:color w:val="333333"/>
          <w:sz w:val="28"/>
          <w:szCs w:val="28"/>
        </w:rPr>
        <w:t>R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esearch</w:t>
      </w:r>
      <w:r w:rsidR="006349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demonstrated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only short</w:t>
      </w:r>
      <w:r w:rsidR="00AA2269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term</w:t>
      </w:r>
      <w:r w:rsidR="00AA2269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benefit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with no major pain relief and the potential for post-procedure complications.</w:t>
      </w:r>
    </w:p>
    <w:p w:rsidR="00405882" w:rsidRPr="0028121D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Default="0045125D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B53665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General Approach</w:t>
      </w:r>
    </w:p>
    <w:p w:rsidR="00EB2595" w:rsidRPr="00EB2595" w:rsidRDefault="00EB2595" w:rsidP="00EB25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1-Alendronate,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risedronate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zoledronic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 acid, and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denosumab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 reduce both hip and vertebral fracture risks.</w:t>
      </w:r>
    </w:p>
    <w:p w:rsidR="00EB2595" w:rsidRPr="00634940" w:rsidRDefault="00EB2595" w:rsidP="00EB25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B2595" w:rsidRPr="00EB2595" w:rsidRDefault="00EB2595" w:rsidP="00EB25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Abaloparatide, calcitonin,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ibandronate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raloxifene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romosozumab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Pr="00EB2595">
        <w:rPr>
          <w:rFonts w:asciiTheme="majorBidi" w:hAnsiTheme="majorBidi" w:cstheme="majorBidi"/>
          <w:color w:val="333333"/>
          <w:sz w:val="28"/>
          <w:szCs w:val="28"/>
        </w:rPr>
        <w:t>teriparatide</w:t>
      </w:r>
      <w:proofErr w:type="spellEnd"/>
      <w:r w:rsidRPr="00EB2595">
        <w:rPr>
          <w:rFonts w:asciiTheme="majorBidi" w:hAnsiTheme="majorBidi" w:cstheme="majorBidi"/>
          <w:color w:val="333333"/>
          <w:sz w:val="28"/>
          <w:szCs w:val="28"/>
        </w:rPr>
        <w:t xml:space="preserve"> reduce vertebral but not hip fracture risks.</w:t>
      </w:r>
    </w:p>
    <w:p w:rsidR="00EB2595" w:rsidRPr="00634940" w:rsidRDefault="00EB2595" w:rsidP="00EB25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3E24EA" w:rsidP="003E2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Calcitonin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last-line therapy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Estrogen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testosterone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r w:rsidR="00B53665" w:rsidRPr="007E1A86">
        <w:rPr>
          <w:rFonts w:asciiTheme="majorBidi" w:hAnsiTheme="majorBidi" w:cstheme="majorBidi"/>
          <w:b/>
          <w:bCs/>
          <w:color w:val="333333"/>
          <w:sz w:val="28"/>
          <w:szCs w:val="28"/>
        </w:rPr>
        <w:t>not used for osteoporosis treatment but can have a positive bone effect when prescribed for other conditions.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spellStart"/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Antiresorptive</w:t>
      </w:r>
      <w:proofErr w:type="spellEnd"/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Therapy</w:t>
      </w: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Calcium Supplementation</w:t>
      </w:r>
    </w:p>
    <w:p w:rsidR="00AA2269" w:rsidRDefault="005A3CE7" w:rsidP="00B45C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There are insufficient data to support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using calcium and vitamin D supplementation to reduce fracture incidence.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Because the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fraction of calcium absorbed decreases with increasing</w:t>
      </w:r>
      <w:r w:rsidR="00AA2269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dose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maximum single doses of 600 mg or less of elemental calcium are recommended.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Calcium carbonate is the salt of choice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because it contains the highest concentration of elemental calcium (40%) and is typically least expensive.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It should be ingested with meals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to enhance absorption in an acidic environment.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Calcium citrate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(21% calcium) has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acid-independent absorption and need not be taken with meals.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It may have fewer GI side effects than calcium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carbonate.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45CA3" w:rsidRDefault="008F02B6" w:rsidP="008F0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Tricalcium phosphate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contains 38% calcium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It may be useful in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with hypophosphatemia that cannot be resolved with increased dietary intake.</w:t>
      </w:r>
    </w:p>
    <w:p w:rsidR="008F02B6" w:rsidRPr="0028121D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A2269" w:rsidRDefault="008F02B6" w:rsidP="008F02B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6-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Constipation is the most common calcium-related adverse reaction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; treat with increased water intake, dietary fiber , and exercise.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Calcium carbonate can sometimes cause flatulence or upset stomach. Calcium causes kidney stones rarely.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Calcium can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decrease the oral absorption of some drugs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including iron,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tetracyclines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quinolones, bisphosphonates, and thyroid supplements.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Vitamin D Supplementation</w:t>
      </w:r>
    </w:p>
    <w:p w:rsidR="00AA2269" w:rsidRDefault="005A3CE7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Supplementation is usually provided with </w:t>
      </w:r>
      <w:r w:rsidR="00B53665" w:rsidRPr="00014020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daily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nonprescription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cholecalciferol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vitamin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D3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) products. Higher-dose prescription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ergocalciferol</w:t>
      </w:r>
      <w:proofErr w:type="spellEnd"/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vitamin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D2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) regimens given weekly, monthly, or quarterly may be used for replacement and maintenance therapy.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5A3CE7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Current guidelines recommend treating patients with osteoporosis to a 25-hydroxyvitamin D concentration of at least</w:t>
      </w:r>
      <w:r w:rsidR="00AC23F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C23F1" w:rsidRPr="00634940">
        <w:rPr>
          <w:rFonts w:asciiTheme="majorBidi" w:hAnsiTheme="majorBidi" w:cstheme="majorBidi"/>
          <w:color w:val="333333"/>
          <w:sz w:val="28"/>
          <w:szCs w:val="28"/>
        </w:rPr>
        <w:t>20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ng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/mL or 30</w:t>
      </w:r>
      <w:r w:rsidR="00B53665" w:rsidRPr="00B5366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50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ng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/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mL.</w:t>
      </w:r>
      <w:proofErr w:type="spellEnd"/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45CA3" w:rsidRDefault="005A3CE7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Because the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half-life of vitamin D is about 1 month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recheck the vitamin D concentration after about 3 months of therapy.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Bisphosphonates</w:t>
      </w:r>
    </w:p>
    <w:p w:rsidR="00AA2269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Bisphosphonates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mimic pyrophosphate, an endogenous bone resorption inhibitor. Therapy leads to decreased osteoclast</w:t>
      </w:r>
      <w:r w:rsidR="00AA226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maturation, number, recruitment, and life span. </w:t>
      </w:r>
    </w:p>
    <w:p w:rsidR="00AA2269" w:rsidRPr="0028121D" w:rsidRDefault="00AA2269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Incorporation into bone gives bisphosphonates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long biologic half-lives of up to</w:t>
      </w:r>
      <w:r w:rsidR="00AA2269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10 years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53665" w:rsidRPr="0028121D" w:rsidRDefault="00B53665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AA226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Ibandronate is</w:t>
      </w:r>
      <w:r w:rsidR="00AA2269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not a first-line therapy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because of the lack of hip fracture reduction data.</w:t>
      </w:r>
    </w:p>
    <w:p w:rsidR="00AA2269" w:rsidRPr="0028121D" w:rsidRDefault="00AA226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BMD increases are dose dependent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and greatest in the first 12 months of therapy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 After discontinuation, the increased BMD is sustained for a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prolonged period that varies per bisphosphonate.</w:t>
      </w:r>
    </w:p>
    <w:p w:rsidR="008F02B6" w:rsidRPr="0028121D" w:rsidRDefault="008F02B6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634940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Oral bisphosphonates must be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administered correctly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to optimize clinical benefit and minimize adverse GI effects.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8F02B6" w:rsidP="00634940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Each oral tablet should be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taken in the morning with at least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(180 mL) of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plain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water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(not coffee, juice, mineral water, or milk)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at least 30 minutes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(60 minutes for oral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ibandronate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before consuming any food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supplements, or medications. </w:t>
      </w:r>
    </w:p>
    <w:p w:rsidR="00C80C04" w:rsidRPr="0028121D" w:rsidRDefault="00C80C04" w:rsidP="0028121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8F02B6" w:rsidP="00634940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An exception is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delayed-release </w:t>
      </w:r>
      <w:proofErr w:type="spellStart"/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risedronate</w:t>
      </w:r>
      <w:proofErr w:type="spellEnd"/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, which is administered</w:t>
      </w:r>
      <w:r w:rsidR="00C80C04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immediately after breakfast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with at least (120 mL) of plain water. </w:t>
      </w:r>
    </w:p>
    <w:p w:rsidR="00C80C04" w:rsidRPr="0028121D" w:rsidRDefault="00C80C04" w:rsidP="0028121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8F02B6" w:rsidP="008F02B6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C-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The patient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remain upright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sitting or standing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at least 30</w:t>
      </w:r>
      <w:r w:rsidR="00C80C04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minutes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after alendronate and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risedronate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1 hour after </w:t>
      </w:r>
      <w:proofErr w:type="spellStart"/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ibandronate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to prevent esophageal irritation and ulceration.</w:t>
      </w:r>
    </w:p>
    <w:p w:rsidR="00C80C04" w:rsidRPr="0028121D" w:rsidRDefault="00C80C04" w:rsidP="0028121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Default="008F02B6" w:rsidP="008F02B6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D-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If a patient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misses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 weekly dose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it can be taken the next day. If more than 1 day has elapsed, that dose is skipped. If a patient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misses a monthly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dose, it can be taken up to 7 days before the next scheduled dose.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F1217D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6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The most common bisphosphonate adverse effects include nausea, abdominal pain, and dyspepsia.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Esophageal, gastric, or duodenal irritation,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perforation, ulceration, or bleeding may occur.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F1217D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8F02B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The most common adverse effects of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IV bisphosphonates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fever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flu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like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and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local injection-site reactions.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F1217D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8F02B6" w:rsidRPr="00AC23F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AC23F1">
        <w:rPr>
          <w:rFonts w:asciiTheme="majorBidi" w:hAnsiTheme="majorBidi" w:cstheme="majorBidi"/>
          <w:b/>
          <w:bCs/>
          <w:color w:val="333333"/>
          <w:sz w:val="28"/>
          <w:szCs w:val="28"/>
        </w:rPr>
        <w:t>The optimal duration of bisphosphonate therapy is unknown</w:t>
      </w:r>
      <w:r w:rsidR="00B53665" w:rsidRPr="00AC23F1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B53665" w:rsidRPr="0028121D" w:rsidRDefault="00B53665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proofErr w:type="spellStart"/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Denosumab</w:t>
      </w:r>
      <w:proofErr w:type="spellEnd"/>
    </w:p>
    <w:p w:rsidR="00B53665" w:rsidRDefault="008F02B6" w:rsidP="00542C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Denosumab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is a RANK ligand inhibitor that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inhibits osteoclast formation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increases osteoclast apoptosis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 It is indicated for treatment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of osteoporosis in women and men</w:t>
      </w:r>
      <w:r w:rsidR="00542C60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634940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Denosumab is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contraindicated in patients with hypocalcemia until the condition is corrected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Mixed Estrogen Agonists/Antagonists and Tissue-Selective Estrogen Complexes</w:t>
      </w:r>
    </w:p>
    <w:p w:rsidR="005F2019" w:rsidRDefault="005077D3" w:rsidP="005F20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Raloxifene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an estrogen agonist/antagonist that is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an estrogen agonist on bone receptors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but an antagonist at breast receptors, with</w:t>
      </w:r>
      <w:r w:rsidR="005F201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minimal effects on the uterus. </w:t>
      </w:r>
    </w:p>
    <w:p w:rsidR="005F2019" w:rsidRPr="0028121D" w:rsidRDefault="005F2019" w:rsidP="005F20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5077D3" w:rsidP="00542C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It is approved for prevention and treatment of 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postmenopausal osteoporosis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42C6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5F2019" w:rsidRPr="0028121D" w:rsidRDefault="005F201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5077D3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B45CA3">
        <w:rPr>
          <w:rFonts w:asciiTheme="majorBidi" w:hAnsiTheme="majorBidi" w:cstheme="majorBidi"/>
          <w:b/>
          <w:bCs/>
          <w:color w:val="333333"/>
          <w:sz w:val="28"/>
          <w:szCs w:val="28"/>
        </w:rPr>
        <w:t>Bazedoxifene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an estrogen agonist/antagonist that is an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agonist at bone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antagonist at the uterus and breast; however,</w:t>
      </w:r>
      <w:r w:rsidR="00D7251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72515" w:rsidRPr="00634940">
        <w:rPr>
          <w:rFonts w:asciiTheme="majorBidi" w:hAnsiTheme="majorBidi" w:cstheme="majorBidi"/>
          <w:color w:val="333333"/>
          <w:sz w:val="28"/>
          <w:szCs w:val="28"/>
        </w:rPr>
        <w:t>reduction in breast cancer risk has not yet been demonstrated.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The proprietary product </w:t>
      </w:r>
      <w:proofErr w:type="spellStart"/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Duavee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combined with conjugated equine estrogens (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CEE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), making it a tissue-selective</w:t>
      </w:r>
      <w:r w:rsidR="005F201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estrogen complex. It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is approved for prevention of postmenopausal osteoporosis and vasomotor menstrual symptoms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5F2019" w:rsidRPr="0028121D" w:rsidRDefault="005F201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Calcitonin</w:t>
      </w:r>
    </w:p>
    <w:p w:rsidR="00D72515" w:rsidRDefault="00D72515" w:rsidP="00D725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34940">
        <w:rPr>
          <w:rFonts w:asciiTheme="majorBidi" w:hAnsiTheme="majorBidi" w:cstheme="majorBidi"/>
          <w:color w:val="333333"/>
          <w:sz w:val="28"/>
          <w:szCs w:val="28"/>
        </w:rPr>
        <w:t xml:space="preserve">Calcitonin is FDA approved for osteoporosis treatment for women at least 5 years past menopause. </w:t>
      </w:r>
      <w:bookmarkStart w:id="0" w:name="_GoBack"/>
      <w:r w:rsidRPr="002A06DE">
        <w:rPr>
          <w:rFonts w:asciiTheme="majorBidi" w:hAnsiTheme="majorBidi" w:cstheme="majorBidi"/>
          <w:b/>
          <w:bCs/>
          <w:color w:val="333333"/>
          <w:sz w:val="28"/>
          <w:szCs w:val="28"/>
        </w:rPr>
        <w:t>Calcitonin is considered as a last line therapy</w:t>
      </w:r>
      <w:r w:rsidRPr="006349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bookmarkEnd w:id="0"/>
      <w:r w:rsidRPr="00634940">
        <w:rPr>
          <w:rFonts w:asciiTheme="majorBidi" w:hAnsiTheme="majorBidi" w:cstheme="majorBidi"/>
          <w:color w:val="333333"/>
          <w:sz w:val="28"/>
          <w:szCs w:val="28"/>
        </w:rPr>
        <w:t>because there are more effective treatment options.</w:t>
      </w:r>
    </w:p>
    <w:p w:rsidR="00D72515" w:rsidRPr="00634940" w:rsidRDefault="00D72515" w:rsidP="00D725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Hormone Therapies</w:t>
      </w:r>
    </w:p>
    <w:p w:rsidR="00B53665" w:rsidRPr="00B53665" w:rsidRDefault="00634940" w:rsidP="00D725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34940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72515" w:rsidRPr="00634940">
        <w:rPr>
          <w:rFonts w:asciiTheme="majorBidi" w:hAnsiTheme="majorBidi" w:cstheme="majorBidi"/>
          <w:color w:val="333333"/>
          <w:sz w:val="28"/>
          <w:szCs w:val="28"/>
        </w:rPr>
        <w:t>Estrogen therapy is FDA approved for prevention of postmenopausal osteoporosis but not for treatment.</w:t>
      </w:r>
      <w:r w:rsidR="00D7251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Estrogen therapy can be a good choice for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women going through early menopause when protection against bone loss is needed</w:t>
      </w:r>
      <w:r w:rsidR="005F201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in addition to reduction of vasomotor symptoms.</w:t>
      </w:r>
    </w:p>
    <w:p w:rsidR="005F2019" w:rsidRPr="0028121D" w:rsidRDefault="005F2019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634940" w:rsidP="005F20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2C1D9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Testosterone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used to treat hypogonadism in men,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but an osteoporosis medication should be added when risk for osteoporotic fracture is high.</w:t>
      </w:r>
    </w:p>
    <w:p w:rsidR="00440364" w:rsidRPr="0028121D" w:rsidRDefault="0044036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Formation Medications</w:t>
      </w: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Parathyroid Hormone Analogs</w:t>
      </w:r>
    </w:p>
    <w:p w:rsidR="00440364" w:rsidRDefault="002C1D9C" w:rsidP="002C1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Abaloparatide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an analog of parathyroid hormone-related peptide (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PTHrP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), and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teriparatide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364">
        <w:rPr>
          <w:rFonts w:asciiTheme="majorBidi" w:hAnsiTheme="majorBidi" w:cstheme="majorBidi"/>
          <w:color w:val="333333"/>
          <w:sz w:val="28"/>
          <w:szCs w:val="28"/>
        </w:rPr>
        <w:t xml:space="preserve">is an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analogs of parathyroid hormone (PTH); these agents are indicated for the treatment of</w:t>
      </w:r>
      <w:r w:rsidR="0044036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postmenopausal women with osteoporosis at high risk for fracture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40364" w:rsidRPr="0028121D" w:rsidRDefault="00440364" w:rsidP="004403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2C1D9C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Transient hypercalcemia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can occur</w:t>
      </w:r>
      <w:r w:rsidR="00634940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PTH analogs should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not be used in patients with hypercalcemia</w:t>
      </w:r>
      <w:r w:rsidR="005A3CE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40364" w:rsidRPr="0028121D" w:rsidRDefault="0044036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Formation and </w:t>
      </w:r>
      <w:proofErr w:type="spellStart"/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Antiresorptive</w:t>
      </w:r>
      <w:proofErr w:type="spellEnd"/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Medication</w:t>
      </w: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proofErr w:type="spellStart"/>
      <w:r w:rsidRPr="00AA2269">
        <w:rPr>
          <w:rFonts w:asciiTheme="majorBidi" w:hAnsiTheme="majorBidi" w:cstheme="majorBidi"/>
          <w:b/>
          <w:bCs/>
          <w:color w:val="0000FF"/>
          <w:sz w:val="32"/>
          <w:szCs w:val="32"/>
        </w:rPr>
        <w:t>Romosozumab</w:t>
      </w:r>
      <w:proofErr w:type="spellEnd"/>
    </w:p>
    <w:p w:rsidR="00440364" w:rsidRDefault="002C1D9C" w:rsidP="002C1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Romosozumab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 inhibition of bone formation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decrease</w:t>
      </w:r>
      <w:r w:rsidR="00440364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bone resorption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an activity that differentiates this medication from other anabolic therapies. </w:t>
      </w:r>
    </w:p>
    <w:p w:rsidR="00440364" w:rsidRPr="0028121D" w:rsidRDefault="00440364" w:rsidP="004403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1D9C" w:rsidRDefault="002C1D9C" w:rsidP="002C1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It indicated for postmenopausal women at high risk</w:t>
      </w:r>
      <w:r w:rsidR="0044036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for fracture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2C1D9C" w:rsidRPr="0028121D" w:rsidRDefault="002C1D9C" w:rsidP="002C1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B53665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Sequential and Combination Therapy</w:t>
      </w:r>
    </w:p>
    <w:p w:rsidR="00634940" w:rsidRDefault="002C1D9C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  <w:highlight w:val="yellow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In sequential therapy,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an anabolic agent is given first to increase bone mass, followed by an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antiresorptive</w:t>
      </w:r>
      <w:proofErr w:type="spellEnd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agent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634940" w:rsidP="002C1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2C1D9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Combination therapy is rarely used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because of no documented fracture benefit, increased cost, 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and potential for more adverse effects.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AA2269" w:rsidRDefault="00AA2269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2269">
        <w:rPr>
          <w:rFonts w:asciiTheme="majorBidi" w:hAnsiTheme="majorBidi" w:cstheme="majorBidi"/>
          <w:b/>
          <w:bCs/>
          <w:color w:val="FF0000"/>
          <w:sz w:val="32"/>
          <w:szCs w:val="32"/>
        </w:rPr>
        <w:t>Glucocorticoid-induced osteoporosis</w:t>
      </w:r>
    </w:p>
    <w:p w:rsidR="00B53665" w:rsidRPr="00B53665" w:rsidRDefault="0028121D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Glucocorticoids decrease bone formation through decreased proliferation and differentiation as well as enhanced apoptosis of osteoblasts. They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also increase the number of osteoclasts, increase bone resorption, decrease calcium absorption, and increase renal calcium excretion.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B53665" w:rsidRPr="00B53665" w:rsidRDefault="0028121D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All glucocorticoid doses and formulations have been associated with increased bone loss and fractures; however,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risk is much greater with oral</w:t>
      </w:r>
      <w:r w:rsidR="00C80C04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prednisone doses </w:t>
      </w:r>
      <w:r w:rsidR="00B53665" w:rsidRPr="005C333D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≥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5 mg daily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(or equivalent) and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oral therapy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1969B6" w:rsidRPr="00634940">
        <w:rPr>
          <w:rFonts w:asciiTheme="majorBidi" w:hAnsiTheme="majorBidi" w:cstheme="majorBidi"/>
          <w:color w:val="333333"/>
          <w:sz w:val="28"/>
          <w:szCs w:val="28"/>
        </w:rPr>
        <w:t xml:space="preserve">compared to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inhaler or intranasal therapy.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80C04" w:rsidRDefault="00634940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All patients starting or receiving systemic glucocorticoid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therapy (any dose or duration)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practice a bone-healthy lifestyle and ingest 1000</w:t>
      </w:r>
      <w:r w:rsidR="00B53665" w:rsidRPr="005C333D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1200 mg elemental calcium and 600</w:t>
      </w:r>
      <w:r w:rsidR="00B53665" w:rsidRPr="005C333D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800 units of vitamin D daily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to achieve therapeutic 25-hydroxyvitamin D concentrations.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634940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Use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the lowest</w:t>
      </w:r>
      <w:r w:rsidR="00C80C04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possible corticosteroid dose </w:t>
      </w:r>
      <w:r w:rsidR="00B53665" w:rsidRPr="005C333D">
        <w:rPr>
          <w:rFonts w:asciiTheme="majorBidi" w:hAnsiTheme="majorBidi" w:cstheme="majorBidi"/>
          <w:color w:val="333333"/>
          <w:sz w:val="28"/>
          <w:szCs w:val="28"/>
        </w:rPr>
        <w:t>and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duration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634940" w:rsidP="005A3C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Alendronate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risedronate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zoledronic</w:t>
      </w:r>
      <w:proofErr w:type="spellEnd"/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acid,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denosumab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teriparatide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are FDA approved for glucocorticoid-induced osteoporosis.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80C04" w:rsidRDefault="00634940" w:rsidP="005A3C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Oral bisphosphonates are recommended first-line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although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IV bisphosphonates can be used in</w:t>
      </w:r>
      <w:r w:rsidR="00C80C04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nonadherent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patients or those unable to take the oral preparations.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80C04" w:rsidRDefault="00634940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Teriparatide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is recommended for patients who cannot use a</w:t>
      </w:r>
      <w:r w:rsidR="00C80C04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bisphosphonate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denosumab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is recommended if neither a bisphosphonate nor 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teriparatide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can be used.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80C04" w:rsidRPr="005C333D" w:rsidRDefault="00634940" w:rsidP="005A3C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28121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Denosumab is not recommended as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first-line therapy due to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limited safety data in this population.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4A73A6" w:rsidRDefault="008D5E15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022299" w:rsidP="009E4FF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B53665" w:rsidRPr="00B53665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Assess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medication adherence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tolerability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at each visit.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Pr="00B53665" w:rsidRDefault="00C80C04" w:rsidP="005A3C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Ask patients about </w:t>
      </w:r>
      <w:r w:rsidR="00B53665" w:rsidRPr="002C77A4">
        <w:rPr>
          <w:rFonts w:asciiTheme="majorBidi" w:hAnsiTheme="majorBidi" w:cstheme="majorBidi"/>
          <w:b/>
          <w:bCs/>
          <w:color w:val="333333"/>
          <w:sz w:val="28"/>
          <w:szCs w:val="28"/>
        </w:rPr>
        <w:t>possible fracture symptoms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, bone pain, disability) at each visit.</w:t>
      </w:r>
    </w:p>
    <w:p w:rsidR="00C80C04" w:rsidRPr="0028121D" w:rsidRDefault="00C80C04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80C04" w:rsidRDefault="002C77A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Obtain a central DXA BMD measurement after 1</w:t>
      </w:r>
      <w:r w:rsidR="00B53665" w:rsidRPr="00B5366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2 years or 3</w:t>
      </w:r>
      <w:r w:rsidR="00B53665" w:rsidRPr="00B5366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5 years after initiating a medication therapy to monitor response. </w:t>
      </w:r>
    </w:p>
    <w:p w:rsidR="00C80C04" w:rsidRPr="0028121D" w:rsidRDefault="00C80C04" w:rsidP="00C80C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2C77A4" w:rsidP="005C33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4-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>Repeat a central</w:t>
      </w:r>
      <w:r w:rsidR="00C80C0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53665" w:rsidRPr="005C333D">
        <w:rPr>
          <w:rFonts w:asciiTheme="majorBidi" w:hAnsiTheme="majorBidi" w:cstheme="majorBidi"/>
          <w:b/>
          <w:bCs/>
          <w:color w:val="333333"/>
          <w:sz w:val="28"/>
          <w:szCs w:val="28"/>
        </w:rPr>
        <w:t>DXA every 2 years until BMD is stable</w:t>
      </w:r>
      <w:r w:rsidR="00B53665" w:rsidRPr="00B53665">
        <w:rPr>
          <w:rFonts w:asciiTheme="majorBidi" w:hAnsiTheme="majorBidi" w:cstheme="majorBidi"/>
          <w:color w:val="333333"/>
          <w:sz w:val="28"/>
          <w:szCs w:val="28"/>
        </w:rPr>
        <w:t xml:space="preserve">, at which time the reassessment interval can be lengthened. </w:t>
      </w:r>
    </w:p>
    <w:p w:rsidR="00B53665" w:rsidRPr="0028121D" w:rsidRDefault="00B53665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3665" w:rsidRDefault="00B53665" w:rsidP="00B53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6349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634940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</w:t>
      </w:r>
      <w:r w:rsidR="00634940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sectPr w:rsidR="00B527DA" w:rsidRPr="00B527D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59" w:rsidRDefault="00BF4A59" w:rsidP="009C79FE">
      <w:pPr>
        <w:spacing w:after="0" w:line="240" w:lineRule="auto"/>
      </w:pPr>
      <w:r>
        <w:separator/>
      </w:r>
    </w:p>
  </w:endnote>
  <w:endnote w:type="continuationSeparator" w:id="0">
    <w:p w:rsidR="00BF4A59" w:rsidRDefault="00BF4A59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6D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59" w:rsidRDefault="00BF4A59" w:rsidP="009C79FE">
      <w:pPr>
        <w:spacing w:after="0" w:line="240" w:lineRule="auto"/>
      </w:pPr>
      <w:r>
        <w:separator/>
      </w:r>
    </w:p>
  </w:footnote>
  <w:footnote w:type="continuationSeparator" w:id="0">
    <w:p w:rsidR="00BF4A59" w:rsidRDefault="00BF4A59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14020"/>
    <w:rsid w:val="00022299"/>
    <w:rsid w:val="00051B16"/>
    <w:rsid w:val="000534C4"/>
    <w:rsid w:val="000746CE"/>
    <w:rsid w:val="00085EC1"/>
    <w:rsid w:val="000A39DD"/>
    <w:rsid w:val="000D6AAF"/>
    <w:rsid w:val="000F5D8E"/>
    <w:rsid w:val="00126BAA"/>
    <w:rsid w:val="001369C1"/>
    <w:rsid w:val="001467B2"/>
    <w:rsid w:val="0018108D"/>
    <w:rsid w:val="001835C9"/>
    <w:rsid w:val="00185811"/>
    <w:rsid w:val="001969B6"/>
    <w:rsid w:val="001A0CEA"/>
    <w:rsid w:val="001A4491"/>
    <w:rsid w:val="001C7900"/>
    <w:rsid w:val="001E6AD2"/>
    <w:rsid w:val="001F3F9F"/>
    <w:rsid w:val="00202D23"/>
    <w:rsid w:val="0023109D"/>
    <w:rsid w:val="002379A2"/>
    <w:rsid w:val="00240FC2"/>
    <w:rsid w:val="00247479"/>
    <w:rsid w:val="0028121D"/>
    <w:rsid w:val="00293D7B"/>
    <w:rsid w:val="002A06DE"/>
    <w:rsid w:val="002A56DF"/>
    <w:rsid w:val="002B5652"/>
    <w:rsid w:val="002C1D9C"/>
    <w:rsid w:val="002C77A4"/>
    <w:rsid w:val="002F42C5"/>
    <w:rsid w:val="00307E17"/>
    <w:rsid w:val="00324617"/>
    <w:rsid w:val="00324E72"/>
    <w:rsid w:val="003310D9"/>
    <w:rsid w:val="00337A94"/>
    <w:rsid w:val="00347D77"/>
    <w:rsid w:val="00394517"/>
    <w:rsid w:val="003C1E95"/>
    <w:rsid w:val="003D563D"/>
    <w:rsid w:val="003E24EA"/>
    <w:rsid w:val="003F1A57"/>
    <w:rsid w:val="003F21B7"/>
    <w:rsid w:val="003F5F6F"/>
    <w:rsid w:val="003F7B07"/>
    <w:rsid w:val="00405882"/>
    <w:rsid w:val="00417F48"/>
    <w:rsid w:val="00420C39"/>
    <w:rsid w:val="00423E59"/>
    <w:rsid w:val="00430B69"/>
    <w:rsid w:val="00432419"/>
    <w:rsid w:val="00440364"/>
    <w:rsid w:val="0045071B"/>
    <w:rsid w:val="0045125D"/>
    <w:rsid w:val="004722A3"/>
    <w:rsid w:val="004752B9"/>
    <w:rsid w:val="0048401C"/>
    <w:rsid w:val="00487060"/>
    <w:rsid w:val="004A73A6"/>
    <w:rsid w:val="004B2945"/>
    <w:rsid w:val="004B6F1E"/>
    <w:rsid w:val="004E1DCC"/>
    <w:rsid w:val="005077D3"/>
    <w:rsid w:val="00516926"/>
    <w:rsid w:val="00542C60"/>
    <w:rsid w:val="005627C5"/>
    <w:rsid w:val="005638DB"/>
    <w:rsid w:val="00583888"/>
    <w:rsid w:val="005A3CE7"/>
    <w:rsid w:val="005C333D"/>
    <w:rsid w:val="005C3F80"/>
    <w:rsid w:val="005D1A07"/>
    <w:rsid w:val="005D3E7B"/>
    <w:rsid w:val="005F2019"/>
    <w:rsid w:val="0063410E"/>
    <w:rsid w:val="00634940"/>
    <w:rsid w:val="0065062A"/>
    <w:rsid w:val="00653546"/>
    <w:rsid w:val="0065403B"/>
    <w:rsid w:val="00655FED"/>
    <w:rsid w:val="00660CED"/>
    <w:rsid w:val="00677897"/>
    <w:rsid w:val="00690A20"/>
    <w:rsid w:val="006977EE"/>
    <w:rsid w:val="006A158E"/>
    <w:rsid w:val="006D0591"/>
    <w:rsid w:val="006F50F4"/>
    <w:rsid w:val="00701BAE"/>
    <w:rsid w:val="00721505"/>
    <w:rsid w:val="007404A7"/>
    <w:rsid w:val="00741490"/>
    <w:rsid w:val="00747F03"/>
    <w:rsid w:val="00761A5B"/>
    <w:rsid w:val="007621C3"/>
    <w:rsid w:val="00773A31"/>
    <w:rsid w:val="007A0A8A"/>
    <w:rsid w:val="007B6004"/>
    <w:rsid w:val="007E1A86"/>
    <w:rsid w:val="007E68A8"/>
    <w:rsid w:val="007F19A1"/>
    <w:rsid w:val="007F3E39"/>
    <w:rsid w:val="00804049"/>
    <w:rsid w:val="00804825"/>
    <w:rsid w:val="008B4BC1"/>
    <w:rsid w:val="008D2536"/>
    <w:rsid w:val="008D5E15"/>
    <w:rsid w:val="008D7966"/>
    <w:rsid w:val="008E28D7"/>
    <w:rsid w:val="008F02B6"/>
    <w:rsid w:val="00926008"/>
    <w:rsid w:val="00946188"/>
    <w:rsid w:val="009608D6"/>
    <w:rsid w:val="00987645"/>
    <w:rsid w:val="009B0D47"/>
    <w:rsid w:val="009B224B"/>
    <w:rsid w:val="009B51F7"/>
    <w:rsid w:val="009C4D71"/>
    <w:rsid w:val="009C79FE"/>
    <w:rsid w:val="009D31BD"/>
    <w:rsid w:val="009E4FFB"/>
    <w:rsid w:val="009E60CC"/>
    <w:rsid w:val="00A07CCC"/>
    <w:rsid w:val="00A26085"/>
    <w:rsid w:val="00A3454C"/>
    <w:rsid w:val="00A4401F"/>
    <w:rsid w:val="00A5155A"/>
    <w:rsid w:val="00A532FE"/>
    <w:rsid w:val="00A542DD"/>
    <w:rsid w:val="00A7600B"/>
    <w:rsid w:val="00A8009A"/>
    <w:rsid w:val="00A83FB6"/>
    <w:rsid w:val="00A966DA"/>
    <w:rsid w:val="00A969AE"/>
    <w:rsid w:val="00AA2269"/>
    <w:rsid w:val="00AB66BE"/>
    <w:rsid w:val="00AC23F1"/>
    <w:rsid w:val="00AD10F0"/>
    <w:rsid w:val="00AD3BD4"/>
    <w:rsid w:val="00AD761C"/>
    <w:rsid w:val="00AE1E84"/>
    <w:rsid w:val="00AF560B"/>
    <w:rsid w:val="00B17CB0"/>
    <w:rsid w:val="00B231A6"/>
    <w:rsid w:val="00B45CA3"/>
    <w:rsid w:val="00B503F7"/>
    <w:rsid w:val="00B527DA"/>
    <w:rsid w:val="00B53665"/>
    <w:rsid w:val="00B75789"/>
    <w:rsid w:val="00B834B0"/>
    <w:rsid w:val="00B94318"/>
    <w:rsid w:val="00BD69C4"/>
    <w:rsid w:val="00BE6797"/>
    <w:rsid w:val="00BF062B"/>
    <w:rsid w:val="00BF4A59"/>
    <w:rsid w:val="00C072DB"/>
    <w:rsid w:val="00C16B99"/>
    <w:rsid w:val="00C2374F"/>
    <w:rsid w:val="00C3347D"/>
    <w:rsid w:val="00C35779"/>
    <w:rsid w:val="00C75F21"/>
    <w:rsid w:val="00C80C04"/>
    <w:rsid w:val="00CB0602"/>
    <w:rsid w:val="00CD0420"/>
    <w:rsid w:val="00D06001"/>
    <w:rsid w:val="00D06DBA"/>
    <w:rsid w:val="00D16FD5"/>
    <w:rsid w:val="00D35FDB"/>
    <w:rsid w:val="00D4331A"/>
    <w:rsid w:val="00D72515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407F9"/>
    <w:rsid w:val="00E67F14"/>
    <w:rsid w:val="00E7219D"/>
    <w:rsid w:val="00E90342"/>
    <w:rsid w:val="00EA27D9"/>
    <w:rsid w:val="00EA3500"/>
    <w:rsid w:val="00EA6C80"/>
    <w:rsid w:val="00EB0B76"/>
    <w:rsid w:val="00EB1305"/>
    <w:rsid w:val="00EB2595"/>
    <w:rsid w:val="00EF71B5"/>
    <w:rsid w:val="00F00195"/>
    <w:rsid w:val="00F0769C"/>
    <w:rsid w:val="00F1217D"/>
    <w:rsid w:val="00F27D50"/>
    <w:rsid w:val="00F45CFA"/>
    <w:rsid w:val="00F51847"/>
    <w:rsid w:val="00F73EC3"/>
    <w:rsid w:val="00FA2811"/>
    <w:rsid w:val="00FA558D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1BF9-026A-46B0-B3FB-8B3173AA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71</cp:revision>
  <cp:lastPrinted>2023-05-06T14:48:00Z</cp:lastPrinted>
  <dcterms:created xsi:type="dcterms:W3CDTF">2020-05-04T12:27:00Z</dcterms:created>
  <dcterms:modified xsi:type="dcterms:W3CDTF">2023-08-14T15:33:00Z</dcterms:modified>
</cp:coreProperties>
</file>