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6E" w:rsidRPr="0045125D" w:rsidRDefault="00E0566E" w:rsidP="00F12F0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rtl/>
          <w:lang w:bidi="ar-IQ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</w:rPr>
        <w:t>College of Pharmacy</w:t>
      </w:r>
    </w:p>
    <w:p w:rsidR="00E0566E" w:rsidRPr="0045125D" w:rsidRDefault="00E0566E" w:rsidP="00F12F03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4F81BD"/>
          <w:sz w:val="28"/>
          <w:szCs w:val="28"/>
        </w:rPr>
      </w:pPr>
      <w:r w:rsidRPr="0045125D">
        <w:rPr>
          <w:rFonts w:asciiTheme="majorBidi" w:eastAsia="Times New Roman" w:hAnsiTheme="majorBidi" w:cstheme="majorBidi"/>
          <w:b/>
          <w:bCs/>
          <w:sz w:val="28"/>
          <w:szCs w:val="28"/>
          <w:lang w:bidi="ar-SY"/>
        </w:rPr>
        <w:t>Fourth year. Clinical Pharmacy</w:t>
      </w:r>
    </w:p>
    <w:p w:rsidR="0077347B" w:rsidRPr="00873508" w:rsidRDefault="00873508" w:rsidP="00F12F0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73508">
        <w:rPr>
          <w:rFonts w:asciiTheme="majorBidi" w:hAnsiTheme="majorBidi" w:cstheme="majorBidi"/>
          <w:b/>
          <w:bCs/>
          <w:color w:val="FF0000"/>
          <w:sz w:val="32"/>
          <w:szCs w:val="32"/>
        </w:rPr>
        <w:t>Treatment of acute decompensated heart failure (ADHF)</w:t>
      </w:r>
    </w:p>
    <w:p w:rsidR="0077347B" w:rsidRPr="004908F7" w:rsidRDefault="0077347B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 w:rsidRPr="004908F7">
        <w:rPr>
          <w:rFonts w:asciiTheme="majorBidi" w:hAnsiTheme="majorBidi" w:cstheme="majorBidi"/>
          <w:b/>
          <w:bCs/>
          <w:color w:val="0000FF"/>
          <w:sz w:val="32"/>
          <w:szCs w:val="32"/>
        </w:rPr>
        <w:t>General Approach</w:t>
      </w:r>
    </w:p>
    <w:p w:rsidR="0077347B" w:rsidRPr="002024A7" w:rsidRDefault="00F12F03" w:rsidP="00FF247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F12F03">
        <w:rPr>
          <w:rFonts w:asciiTheme="majorBidi" w:hAnsiTheme="majorBidi" w:cstheme="majorBidi"/>
          <w:b/>
          <w:bCs/>
          <w:color w:val="333333"/>
          <w:sz w:val="28"/>
          <w:szCs w:val="28"/>
        </w:rPr>
        <w:t>Acute decompensated heart failure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involves patients with </w:t>
      </w:r>
      <w:r w:rsidR="0077347B" w:rsidRPr="00F12F03">
        <w:rPr>
          <w:rFonts w:asciiTheme="majorBidi" w:hAnsiTheme="majorBidi" w:cstheme="majorBidi"/>
          <w:b/>
          <w:bCs/>
          <w:color w:val="333333"/>
          <w:sz w:val="28"/>
          <w:szCs w:val="28"/>
        </w:rPr>
        <w:t>new or worsening signs or symptoms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F247E">
        <w:rPr>
          <w:rFonts w:asciiTheme="majorBidi" w:hAnsiTheme="majorBidi" w:cstheme="majorBidi"/>
          <w:color w:val="333333"/>
          <w:sz w:val="28"/>
          <w:szCs w:val="28"/>
        </w:rPr>
        <w:t>[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often resulting from volume overload and/or low</w:t>
      </w:r>
      <w:r w:rsidR="004908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F247E">
        <w:rPr>
          <w:rFonts w:asciiTheme="majorBidi" w:hAnsiTheme="majorBidi" w:cstheme="majorBidi"/>
          <w:color w:val="333333"/>
          <w:sz w:val="28"/>
          <w:szCs w:val="28"/>
        </w:rPr>
        <w:t>cardiac output (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CO)</w:t>
      </w:r>
      <w:r w:rsidR="00FF247E">
        <w:rPr>
          <w:rFonts w:asciiTheme="majorBidi" w:hAnsiTheme="majorBidi" w:cstheme="majorBidi"/>
          <w:color w:val="333333"/>
          <w:sz w:val="28"/>
          <w:szCs w:val="28"/>
        </w:rPr>
        <w:t>]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F12F03">
        <w:rPr>
          <w:rFonts w:asciiTheme="majorBidi" w:hAnsiTheme="majorBidi" w:cstheme="majorBidi"/>
          <w:b/>
          <w:bCs/>
          <w:color w:val="333333"/>
          <w:sz w:val="28"/>
          <w:szCs w:val="28"/>
        </w:rPr>
        <w:t>requiring medical intervention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such as emergency department visit or hospitalization.</w:t>
      </w:r>
    </w:p>
    <w:p w:rsidR="004908F7" w:rsidRPr="00BB4CF5" w:rsidRDefault="004908F7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C72C08" w:rsidRDefault="002415F8" w:rsidP="00F12F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Admission to an </w:t>
      </w:r>
      <w:r w:rsidR="0077347B" w:rsidRPr="00622B43">
        <w:rPr>
          <w:rFonts w:asciiTheme="majorBidi" w:hAnsiTheme="majorBidi" w:cstheme="majorBidi"/>
          <w:b/>
          <w:bCs/>
          <w:color w:val="333333"/>
          <w:sz w:val="28"/>
          <w:szCs w:val="28"/>
        </w:rPr>
        <w:t>intensive care unit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(ICU) may be required </w:t>
      </w:r>
      <w:r w:rsidR="00C72C08">
        <w:rPr>
          <w:rFonts w:asciiTheme="majorBidi" w:hAnsiTheme="majorBidi" w:cstheme="majorBidi"/>
          <w:color w:val="333333"/>
          <w:sz w:val="28"/>
          <w:szCs w:val="28"/>
        </w:rPr>
        <w:t>for some cases.</w:t>
      </w:r>
    </w:p>
    <w:p w:rsidR="004908F7" w:rsidRPr="00BB4CF5" w:rsidRDefault="004908F7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12F03" w:rsidRDefault="002415F8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C72C08"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Signs</w:t>
      </w:r>
      <w:r w:rsidR="00C72C08">
        <w:rPr>
          <w:rFonts w:asciiTheme="majorBidi" w:hAnsiTheme="majorBidi" w:cstheme="majorBidi"/>
          <w:color w:val="333333"/>
          <w:sz w:val="28"/>
          <w:szCs w:val="28"/>
        </w:rPr>
        <w:t xml:space="preserve"> and s</w:t>
      </w:r>
      <w:r w:rsidR="0077347B" w:rsidRPr="00622B43">
        <w:rPr>
          <w:rFonts w:asciiTheme="majorBidi" w:hAnsiTheme="majorBidi" w:cstheme="majorBidi"/>
          <w:b/>
          <w:bCs/>
          <w:color w:val="333333"/>
          <w:sz w:val="28"/>
          <w:szCs w:val="28"/>
        </w:rPr>
        <w:t>ymptoms of volume overload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include dyspnea, orthopnea, PND, ascites, GI symptoms (poor appetite, nausea, early satiety), peripheral edema,</w:t>
      </w:r>
      <w:r w:rsidR="004908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and weight gain.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 xml:space="preserve">  </w:t>
      </w:r>
    </w:p>
    <w:p w:rsidR="00F12F03" w:rsidRPr="00BB4CF5" w:rsidRDefault="0077347B" w:rsidP="00F12F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 w:rsidRPr="00BB4CF5">
        <w:rPr>
          <w:rFonts w:asciiTheme="majorBidi" w:hAnsiTheme="majorBidi" w:cstheme="majorBidi"/>
          <w:color w:val="333333"/>
          <w:sz w:val="16"/>
          <w:szCs w:val="16"/>
        </w:rPr>
        <w:t xml:space="preserve"> </w:t>
      </w:r>
    </w:p>
    <w:p w:rsidR="0077347B" w:rsidRPr="002024A7" w:rsidRDefault="002415F8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622B43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Low output </w:t>
      </w:r>
      <w:r w:rsidR="00C72C0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signs and </w:t>
      </w:r>
      <w:r w:rsidR="0077347B" w:rsidRPr="00622B43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include altered mental status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C72C08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tachycardia, hypotension (more commonly) or hypertension, cool extremities, pallor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and decreased urine</w:t>
      </w:r>
      <w:r w:rsidR="004908F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output.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4908F7" w:rsidRPr="00BB4CF5" w:rsidRDefault="004908F7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627994" w:rsidP="00622B4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If fluid retention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is evident on physical exam, </w:t>
      </w:r>
      <w:r w:rsidR="00F12F03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start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aggressive diuresis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preferably with IV diuretics.</w:t>
      </w:r>
    </w:p>
    <w:p w:rsidR="00825933" w:rsidRPr="00BB4CF5" w:rsidRDefault="00825933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25933" w:rsidRDefault="00627994" w:rsidP="00622B4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6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In the absence of cardiogenic shock or symptomatic hypotension, strive to continue all GDMT for HF.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β-blockers may be temporarily held or dose</w:t>
      </w:r>
      <w:r w:rsidR="00825933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reduced</w:t>
      </w:r>
      <w:r w:rsidR="0082593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if recent changes are responsible for acute decompensation. </w:t>
      </w:r>
    </w:p>
    <w:p w:rsidR="00825933" w:rsidRPr="00BB4CF5" w:rsidRDefault="00825933" w:rsidP="0082593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25933" w:rsidRDefault="00627994" w:rsidP="008441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7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Other GDMT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(ACE inhibitors, ARBs, ARNI, and aldosterone antagonists) may</w:t>
      </w:r>
      <w:r w:rsidR="00825933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also need to be temporarily withheld in the presence of renal dysfunction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, with close monitoring of serum potassium. </w:t>
      </w:r>
    </w:p>
    <w:p w:rsidR="0077347B" w:rsidRPr="00BB4CF5" w:rsidRDefault="0077347B" w:rsidP="007734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627994" w:rsidP="008441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8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Place all patients with congestive symptoms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on sodium restriction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(&lt;2 g daily) and consider fluid restriction for refractory symptoms.</w:t>
      </w:r>
    </w:p>
    <w:p w:rsidR="00825933" w:rsidRPr="00BB4CF5" w:rsidRDefault="00825933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Default="00627994" w:rsidP="002415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9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Consider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noninvasive ventilation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for patients in respiratory distress due to acute pulmonary edema.</w:t>
      </w:r>
    </w:p>
    <w:p w:rsidR="00627994" w:rsidRPr="00627994" w:rsidRDefault="00627994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F12F03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>0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Provide pharmacologic thromboprophylaxis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with unfractionated heparin or low-molecular-weight heparin for most patients with limited mobility;</w:t>
      </w:r>
      <w:r w:rsidR="0082593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AA5DCA">
        <w:rPr>
          <w:rFonts w:asciiTheme="majorBidi" w:hAnsiTheme="majorBidi" w:cstheme="majorBidi"/>
          <w:b/>
          <w:bCs/>
          <w:color w:val="333333"/>
          <w:sz w:val="28"/>
          <w:szCs w:val="28"/>
        </w:rPr>
        <w:t>consider mechanical thromboprophylaxis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with intermittent pneumatic compression devices in patients at high risk for bleeding.</w:t>
      </w:r>
    </w:p>
    <w:p w:rsidR="00825933" w:rsidRPr="00BB4CF5" w:rsidRDefault="00825933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F12F03" w:rsidRDefault="00622B43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>1</w:t>
      </w:r>
      <w:r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Temporary </w:t>
      </w:r>
      <w:r w:rsidR="0077347B" w:rsidRPr="00622B43">
        <w:rPr>
          <w:rFonts w:asciiTheme="majorBidi" w:hAnsiTheme="majorBidi" w:cstheme="majorBidi"/>
          <w:b/>
          <w:bCs/>
          <w:color w:val="333333"/>
          <w:sz w:val="28"/>
          <w:szCs w:val="28"/>
        </w:rPr>
        <w:t>mechanical circulatory support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may be considered for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hemodynamic stabilization until the underlying etiology has been corrected or until</w:t>
      </w:r>
      <w:r w:rsidR="00F12F03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definitive therapy (</w:t>
      </w:r>
      <w:r w:rsidR="00627994" w:rsidRPr="002024A7">
        <w:rPr>
          <w:rFonts w:asciiTheme="majorBidi" w:hAnsiTheme="majorBidi" w:cstheme="majorBidi"/>
          <w:color w:val="333333"/>
          <w:sz w:val="28"/>
          <w:szCs w:val="28"/>
        </w:rPr>
        <w:t>e.g.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cardiac transplantation)</w:t>
      </w:r>
      <w:r w:rsidR="00AA5DCA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F12F03" w:rsidRPr="00BB4CF5" w:rsidRDefault="00F12F03" w:rsidP="00F12F0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AA5DCA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622B4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Cardiac transplantation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is the best option for patients with irreversible advanced HF. New surgical strategies such </w:t>
      </w:r>
      <w:r w:rsidR="0077347B" w:rsidRPr="00960692">
        <w:rPr>
          <w:rFonts w:asciiTheme="majorBidi" w:hAnsiTheme="majorBidi" w:cstheme="majorBidi"/>
          <w:b/>
          <w:bCs/>
          <w:color w:val="333333"/>
          <w:sz w:val="28"/>
          <w:szCs w:val="28"/>
        </w:rPr>
        <w:t>myocardial cell transplantation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offer additional options for patients ineligible for 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device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implantation or heart transplantation.</w:t>
      </w:r>
    </w:p>
    <w:p w:rsidR="00825933" w:rsidRPr="00BB4CF5" w:rsidRDefault="00825933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77347B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0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C1766">
        <w:rPr>
          <w:rFonts w:asciiTheme="majorBidi" w:hAnsiTheme="majorBidi" w:cstheme="majorBidi"/>
          <w:b/>
          <w:bCs/>
          <w:color w:val="FF0000"/>
          <w:sz w:val="32"/>
          <w:szCs w:val="32"/>
        </w:rPr>
        <w:t>Pharmacologic Therapy for ADHF</w:t>
      </w:r>
    </w:p>
    <w:p w:rsidR="0077347B" w:rsidRPr="008C1766" w:rsidRDefault="0084412D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A-</w:t>
      </w:r>
      <w:r w:rsidR="0077347B" w:rsidRPr="008C1766">
        <w:rPr>
          <w:rFonts w:asciiTheme="majorBidi" w:hAnsiTheme="majorBidi" w:cstheme="majorBidi"/>
          <w:b/>
          <w:bCs/>
          <w:color w:val="0000FF"/>
          <w:sz w:val="32"/>
          <w:szCs w:val="32"/>
        </w:rPr>
        <w:t>Loop Diuretics</w:t>
      </w:r>
    </w:p>
    <w:p w:rsidR="0077347B" w:rsidRPr="002024A7" w:rsidRDefault="00F12F03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Current guidelines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recommend IV loop diuretics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(furosemide, </w:t>
      </w:r>
      <w:proofErr w:type="spellStart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bumetanide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) as first-line therapy for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ADHF patients with volume overload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.</w:t>
      </w:r>
    </w:p>
    <w:p w:rsidR="008C1766" w:rsidRPr="00BB4CF5" w:rsidRDefault="008C1766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8C1766" w:rsidRDefault="00C93E8A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lastRenderedPageBreak/>
        <w:t>2-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Bolus administration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reduces preload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by functional </w:t>
      </w:r>
      <w:proofErr w:type="spellStart"/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venodilation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within 5</w:t>
      </w:r>
      <w:r w:rsidR="0077347B" w:rsidRPr="002024A7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15 minutes and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later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(&gt;20 minutes)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via sodium and water excretion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</w:t>
      </w:r>
      <w:r w:rsidR="008C176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thereby improving pulmonary congestion. </w:t>
      </w:r>
    </w:p>
    <w:p w:rsidR="008C1766" w:rsidRPr="00BB4CF5" w:rsidRDefault="008C1766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C93E8A" w:rsidP="002415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Diuretic resistance may be improved by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administering larger IV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bolus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doses, transitioning from IV bolus to continuous IV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infusions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, or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adding a</w:t>
      </w:r>
      <w:r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second diuretic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with a different mechanism of action, such as a distal tubule blocker (</w:t>
      </w:r>
      <w:proofErr w:type="spellStart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eg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oral metolazone, oral hydrochlorothiazide, or IV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chlorothiazide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). </w:t>
      </w:r>
    </w:p>
    <w:p w:rsidR="008C1766" w:rsidRPr="00BB4CF5" w:rsidRDefault="008C1766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84412D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B-</w:t>
      </w:r>
      <w:r w:rsidR="0077347B" w:rsidRPr="008C1766">
        <w:rPr>
          <w:rFonts w:asciiTheme="majorBidi" w:hAnsiTheme="majorBidi" w:cstheme="majorBidi"/>
          <w:b/>
          <w:bCs/>
          <w:color w:val="0000FF"/>
          <w:sz w:val="32"/>
          <w:szCs w:val="32"/>
        </w:rPr>
        <w:t>Vasopressin Antagonists</w:t>
      </w:r>
    </w:p>
    <w:p w:rsidR="0077347B" w:rsidRPr="002024A7" w:rsidRDefault="00C93E8A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Vasopressin receptor antagonists affect one or two AVP (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antidiuretic hormone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) receptors, V1A or V2. Stimulation of V1A receptors (located in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vascular smooth muscle cells and myocardium) results in vasoconstriction, and positive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inotropic effects. V2 receptors are located in renal tubules, where they regulate water reabsorption.</w:t>
      </w:r>
    </w:p>
    <w:p w:rsidR="0077347B" w:rsidRPr="00BB4CF5" w:rsidRDefault="0077347B" w:rsidP="0077347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2415F8" w:rsidRPr="002415F8" w:rsidRDefault="0077347B" w:rsidP="00AA5DCA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ind w:left="567" w:firstLine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>Tolvaptan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selectively binds to and inhibits the V2 receptor. It is an oral agent indicated for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hypervolemic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euvolemic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>hyponatremia</w:t>
      </w:r>
      <w:proofErr w:type="spellEnd"/>
      <w:r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in</w:t>
      </w:r>
      <w:r w:rsidR="00C93E8A"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>patients with HF</w:t>
      </w:r>
      <w:r w:rsidRPr="002415F8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BF3D79"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2415F8" w:rsidRPr="002415F8" w:rsidRDefault="002415F8" w:rsidP="002415F8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Theme="majorBidi" w:hAnsiTheme="majorBidi" w:cstheme="majorBidi"/>
          <w:color w:val="333333"/>
          <w:sz w:val="28"/>
          <w:szCs w:val="28"/>
        </w:rPr>
      </w:pPr>
    </w:p>
    <w:p w:rsidR="0077347B" w:rsidRPr="002415F8" w:rsidRDefault="0077347B" w:rsidP="002415F8">
      <w:pPr>
        <w:pStyle w:val="ListParagraph"/>
        <w:numPr>
          <w:ilvl w:val="0"/>
          <w:numId w:val="16"/>
        </w:numPr>
        <w:autoSpaceDE w:val="0"/>
        <w:autoSpaceDN w:val="0"/>
        <w:bidi w:val="0"/>
        <w:adjustRightInd w:val="0"/>
        <w:spacing w:after="0" w:line="240" w:lineRule="auto"/>
        <w:ind w:left="567" w:firstLine="0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proofErr w:type="spellStart"/>
      <w:r w:rsidRPr="002415F8">
        <w:rPr>
          <w:rFonts w:asciiTheme="majorBidi" w:hAnsiTheme="majorBidi" w:cstheme="majorBidi"/>
          <w:b/>
          <w:bCs/>
          <w:color w:val="333333"/>
          <w:sz w:val="28"/>
          <w:szCs w:val="28"/>
        </w:rPr>
        <w:t>Conivaptan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nonselectively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inhibits both the V1A and V2 receptors. It is an IV agent indicated for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hypervolemic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and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euvolemic</w:t>
      </w:r>
      <w:proofErr w:type="spellEnd"/>
      <w:r w:rsidR="00C93E8A"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proofErr w:type="spellStart"/>
      <w:r w:rsidRPr="002415F8">
        <w:rPr>
          <w:rFonts w:asciiTheme="majorBidi" w:hAnsiTheme="majorBidi" w:cstheme="majorBidi"/>
          <w:color w:val="333333"/>
          <w:sz w:val="28"/>
          <w:szCs w:val="28"/>
        </w:rPr>
        <w:t>hyponatremia</w:t>
      </w:r>
      <w:proofErr w:type="spellEnd"/>
      <w:r w:rsidRPr="002415F8">
        <w:rPr>
          <w:rFonts w:asciiTheme="majorBidi" w:hAnsiTheme="majorBidi" w:cstheme="majorBidi"/>
          <w:color w:val="333333"/>
          <w:sz w:val="28"/>
          <w:szCs w:val="28"/>
        </w:rPr>
        <w:t xml:space="preserve"> due to a variety of causes but is not indicated for patients with HF.</w:t>
      </w:r>
    </w:p>
    <w:p w:rsidR="00C93E8A" w:rsidRPr="00BB4CF5" w:rsidRDefault="00C93E8A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C93E8A" w:rsidP="00BF3D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 patients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closely to avoid an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excessively rapid rise in serum sodium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requiring drug</w:t>
      </w:r>
      <w:r w:rsidR="001D23A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discontinuation.</w:t>
      </w:r>
      <w:r w:rsidR="001D23A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</w:p>
    <w:p w:rsidR="00C93E8A" w:rsidRPr="00BB4CF5" w:rsidRDefault="00C93E8A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84412D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C-</w:t>
      </w:r>
      <w:r w:rsidR="0077347B" w:rsidRPr="008C1766">
        <w:rPr>
          <w:rFonts w:asciiTheme="majorBidi" w:hAnsiTheme="majorBidi" w:cstheme="majorBidi"/>
          <w:b/>
          <w:bCs/>
          <w:color w:val="0000FF"/>
          <w:sz w:val="32"/>
          <w:szCs w:val="32"/>
        </w:rPr>
        <w:t>Vasodilators</w:t>
      </w:r>
    </w:p>
    <w:p w:rsidR="0077347B" w:rsidRPr="00F71021" w:rsidRDefault="00DE2541" w:rsidP="002415F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Venodilators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reduce preload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by increasing venous capacitance, </w:t>
      </w:r>
      <w:r w:rsidR="00BF3D79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improv</w:t>
      </w:r>
      <w:r w:rsidR="00BF3D79">
        <w:rPr>
          <w:rFonts w:asciiTheme="majorBidi" w:hAnsiTheme="majorBidi" w:cstheme="majorBidi"/>
          <w:color w:val="333333"/>
          <w:sz w:val="28"/>
          <w:szCs w:val="28"/>
        </w:rPr>
        <w:t>e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symptoms of pulmonary congestion.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Arterial vasodilators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FF247E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decreas</w:t>
      </w:r>
      <w:r w:rsidR="00FF247E">
        <w:rPr>
          <w:rFonts w:asciiTheme="majorBidi" w:hAnsiTheme="majorBidi" w:cstheme="majorBidi"/>
          <w:b/>
          <w:bCs/>
          <w:color w:val="333333"/>
          <w:sz w:val="28"/>
          <w:szCs w:val="28"/>
        </w:rPr>
        <w:t>e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afterload and</w:t>
      </w:r>
      <w:r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causing increased CO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Mixed vasodilators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act on both arterial resistance and venous capacitance</w:t>
      </w:r>
      <w:r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vessels,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reducing congestive symptoms while increasing CO.</w:t>
      </w:r>
    </w:p>
    <w:p w:rsidR="00DE2541" w:rsidRPr="00BB4CF5" w:rsidRDefault="00DE2541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F71021" w:rsidRDefault="00F71021" w:rsidP="00BF3D7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BF3D7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IV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vasodilators should be considered before positive inotropic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therapy in patients with low CO and elevated </w:t>
      </w:r>
      <w:r w:rsidR="00FF247E">
        <w:rPr>
          <w:rFonts w:asciiTheme="majorBidi" w:hAnsiTheme="majorBidi" w:cstheme="majorBidi"/>
          <w:color w:val="333333"/>
          <w:sz w:val="28"/>
          <w:szCs w:val="28"/>
        </w:rPr>
        <w:t>systemic vascular resistance (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SVR</w:t>
      </w:r>
      <w:r w:rsidR="00FF247E">
        <w:rPr>
          <w:rFonts w:asciiTheme="majorBidi" w:hAnsiTheme="majorBidi" w:cstheme="majorBidi"/>
          <w:color w:val="333333"/>
          <w:sz w:val="28"/>
          <w:szCs w:val="28"/>
        </w:rPr>
        <w:t>)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. However,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hypotension may preclude their use in patients with preexisting low BP or SVR.</w:t>
      </w:r>
    </w:p>
    <w:p w:rsidR="00DE2541" w:rsidRPr="00BB4CF5" w:rsidRDefault="00DE2541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Default="00F71021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F71021"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BF3D7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IV nitroglycerin is often preferred for preload reduction in ADHF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>.</w:t>
      </w:r>
      <w:r w:rsidR="00BF3D79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2415F8" w:rsidRPr="002024A7">
        <w:rPr>
          <w:rFonts w:asciiTheme="majorBidi" w:hAnsiTheme="majorBidi" w:cstheme="majorBidi"/>
          <w:color w:val="333333"/>
          <w:sz w:val="28"/>
          <w:szCs w:val="28"/>
        </w:rPr>
        <w:t>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itroglycerin</w:t>
      </w:r>
      <w:r w:rsid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displays</w:t>
      </w:r>
      <w:r w:rsidR="00DE254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potent coronary vasodilating properties</w:t>
      </w:r>
      <w:r w:rsidR="002415F8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making it the vasodilator of choice for</w:t>
      </w:r>
      <w:r w:rsidR="00DE2541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patients with severe HF and ischemic heart disease.</w:t>
      </w:r>
    </w:p>
    <w:p w:rsidR="00DE2541" w:rsidRPr="00BB4CF5" w:rsidRDefault="00DE2541" w:rsidP="00DE254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26717F" w:rsidP="00002C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bookmarkStart w:id="0" w:name="_GoBack"/>
      <w:bookmarkEnd w:id="0"/>
      <w:r w:rsidR="00BF3D79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Sodium nitroprusside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is a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mixed </w:t>
      </w:r>
      <w:proofErr w:type="spellStart"/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arteriovenous</w:t>
      </w:r>
      <w:proofErr w:type="spellEnd"/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vasodilator</w:t>
      </w:r>
      <w:r w:rsidR="00002C93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Hypotension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is an important dose-limiting adverse effect of nitroprusside, and its use should be primarily reserved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for patients with</w:t>
      </w:r>
      <w:r w:rsidR="00DE2541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elevated SVR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DE2541" w:rsidRPr="00BB4CF5" w:rsidRDefault="00DE2541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84412D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D-</w:t>
      </w:r>
      <w:r w:rsidR="0077347B" w:rsidRPr="008C1766">
        <w:rPr>
          <w:rFonts w:asciiTheme="majorBidi" w:hAnsiTheme="majorBidi" w:cstheme="majorBidi"/>
          <w:b/>
          <w:bCs/>
          <w:color w:val="0000FF"/>
          <w:sz w:val="32"/>
          <w:szCs w:val="32"/>
        </w:rPr>
        <w:t>Inotropes</w:t>
      </w:r>
      <w:r w:rsidR="00FF247E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 (</w:t>
      </w:r>
      <w:proofErr w:type="spellStart"/>
      <w:r w:rsidR="00FF247E" w:rsidRPr="00A736B8">
        <w:rPr>
          <w:rFonts w:asciiTheme="majorBidi" w:hAnsiTheme="majorBidi" w:cstheme="majorBidi"/>
          <w:color w:val="333333"/>
          <w:sz w:val="28"/>
          <w:szCs w:val="28"/>
        </w:rPr>
        <w:t>Dobutamine</w:t>
      </w:r>
      <w:proofErr w:type="spellEnd"/>
      <w:r w:rsidR="00FF247E">
        <w:rPr>
          <w:rFonts w:asciiTheme="majorBidi" w:hAnsiTheme="majorBidi" w:cstheme="majorBidi"/>
          <w:color w:val="333333"/>
          <w:sz w:val="28"/>
          <w:szCs w:val="28"/>
        </w:rPr>
        <w:t xml:space="preserve">, </w:t>
      </w:r>
      <w:proofErr w:type="spellStart"/>
      <w:r w:rsidR="00FF247E" w:rsidRPr="002024A7">
        <w:rPr>
          <w:rFonts w:asciiTheme="majorBidi" w:hAnsiTheme="majorBidi" w:cstheme="majorBidi"/>
          <w:color w:val="333333"/>
          <w:sz w:val="28"/>
          <w:szCs w:val="28"/>
        </w:rPr>
        <w:t>Milrinone</w:t>
      </w:r>
      <w:proofErr w:type="spellEnd"/>
      <w:r w:rsidR="00FF247E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, </w:t>
      </w:r>
      <w:r w:rsidR="00FF247E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Norepinephrine</w:t>
      </w:r>
      <w:r w:rsidR="00FF247E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FF247E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and </w:t>
      </w:r>
      <w:r w:rsidR="00FF247E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dopamine</w:t>
      </w:r>
      <w:r w:rsidR="00FF247E">
        <w:rPr>
          <w:rFonts w:asciiTheme="majorBidi" w:hAnsiTheme="majorBidi" w:cstheme="majorBidi"/>
          <w:b/>
          <w:bCs/>
          <w:color w:val="333333"/>
          <w:sz w:val="28"/>
          <w:szCs w:val="28"/>
        </w:rPr>
        <w:t>)</w:t>
      </w:r>
    </w:p>
    <w:p w:rsidR="00EC630C" w:rsidRDefault="00002C93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Prompt correction of low CO in patients with </w:t>
      </w:r>
      <w:r w:rsidR="00FF247E" w:rsidRPr="00627994">
        <w:rPr>
          <w:rFonts w:asciiTheme="majorBidi" w:hAnsiTheme="majorBidi" w:cstheme="majorBidi"/>
          <w:color w:val="333333"/>
          <w:sz w:val="28"/>
          <w:szCs w:val="28"/>
        </w:rPr>
        <w:t>hypoperfusion</w:t>
      </w:r>
      <w:r w:rsidR="00627994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is required to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restore peripheral tissue perfusion and preserve end-organ</w:t>
      </w:r>
      <w:r w:rsidR="00EC630C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function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. </w:t>
      </w:r>
    </w:p>
    <w:p w:rsidR="00EC630C" w:rsidRPr="00BB4CF5" w:rsidRDefault="00EC630C" w:rsidP="00EC63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627994" w:rsidP="00002C9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</w:t>
      </w:r>
      <w:r w:rsidR="00002C93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Inotropes should be considered only as a temporizing measure to maintain end-organ perfusion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in patients with</w:t>
      </w:r>
      <w:r w:rsidR="00EC630C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cardiogenic shock or severely depressed CO and low systolic BP (</w:t>
      </w:r>
      <w:proofErr w:type="spellStart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ie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ineligible for IV vasodilators).</w:t>
      </w:r>
    </w:p>
    <w:p w:rsidR="00EC630C" w:rsidRPr="00BB4CF5" w:rsidRDefault="00EC630C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EC630C" w:rsidRPr="00F71021" w:rsidRDefault="00EC630C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16"/>
          <w:szCs w:val="16"/>
        </w:rPr>
      </w:pPr>
    </w:p>
    <w:p w:rsidR="00EC630C" w:rsidRPr="00BB4CF5" w:rsidRDefault="00EC630C" w:rsidP="00BB4CF5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8C1766" w:rsidP="00E20F64">
      <w:pPr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color w:val="0000FF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FF"/>
          <w:sz w:val="32"/>
          <w:szCs w:val="32"/>
        </w:rPr>
        <w:t>E</w:t>
      </w:r>
      <w:r w:rsidRPr="008C1766">
        <w:rPr>
          <w:rFonts w:asciiTheme="majorBidi" w:hAnsiTheme="majorBidi" w:cstheme="majorBidi"/>
          <w:b/>
          <w:bCs/>
          <w:color w:val="0000FF"/>
          <w:sz w:val="32"/>
          <w:szCs w:val="32"/>
        </w:rPr>
        <w:t>valuation of therapeutic outcomes</w:t>
      </w:r>
    </w:p>
    <w:p w:rsidR="0077347B" w:rsidRPr="008C1766" w:rsidRDefault="0077347B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C1766">
        <w:rPr>
          <w:rFonts w:asciiTheme="majorBidi" w:hAnsiTheme="majorBidi" w:cstheme="majorBidi"/>
          <w:b/>
          <w:bCs/>
          <w:color w:val="FF0000"/>
          <w:sz w:val="32"/>
          <w:szCs w:val="32"/>
        </w:rPr>
        <w:t>Chronic Heart Failure</w:t>
      </w:r>
    </w:p>
    <w:p w:rsidR="0077347B" w:rsidRPr="002024A7" w:rsidRDefault="00EC630C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Ask patients about the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presence and severity of symptoms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and how symptoms affect daily activities.</w:t>
      </w:r>
    </w:p>
    <w:p w:rsidR="00EC630C" w:rsidRPr="00BB4CF5" w:rsidRDefault="00EC630C" w:rsidP="00EC63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EC630C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Evaluate efficacy of diuretic treatment by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disappearance of the signs and symptoms of excess fluid retention. </w:t>
      </w:r>
    </w:p>
    <w:p w:rsidR="008C1766" w:rsidRPr="00BB4CF5" w:rsidRDefault="008C1766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627994" w:rsidP="00EC63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3</w:t>
      </w:r>
      <w:r w:rsidR="00EC630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Body weight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is a sensitive marker of fluid loss or retention, and patients should weigh themselves daily and report changes of (1.4</w:t>
      </w:r>
      <w:r w:rsidR="0077347B" w:rsidRPr="002024A7">
        <w:rPr>
          <w:rFonts w:asciiTheme="majorBidi" w:hAnsiTheme="majorBidi" w:cstheme="majorBidi" w:hint="cs"/>
          <w:color w:val="333333"/>
          <w:sz w:val="28"/>
          <w:szCs w:val="28"/>
        </w:rPr>
        <w:t>–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2.3 kg) to</w:t>
      </w:r>
      <w:r w:rsidR="008C176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their healthcare provider so adjustments can be made in diuretic doses.</w:t>
      </w:r>
    </w:p>
    <w:p w:rsidR="008C1766" w:rsidRPr="00BB4CF5" w:rsidRDefault="008C1766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Default="00627994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4</w:t>
      </w:r>
      <w:r w:rsidR="00EC630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Symptoms may worsen initially on β-blocker therapy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, and it may take weeks to months before patients notice symptomatic improvement.</w:t>
      </w:r>
    </w:p>
    <w:p w:rsidR="008C1766" w:rsidRPr="00BB4CF5" w:rsidRDefault="008C1766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2024A7" w:rsidRDefault="00627994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5</w:t>
      </w:r>
      <w:r w:rsidR="00EC630C">
        <w:rPr>
          <w:rFonts w:asciiTheme="majorBidi" w:hAnsiTheme="majorBidi" w:cstheme="majorBidi"/>
          <w:color w:val="333333"/>
          <w:sz w:val="28"/>
          <w:szCs w:val="28"/>
        </w:rPr>
        <w:t>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Routine monitoring of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serum electrolytes (especially potassium and magnesium) and renal function (BUN, serum creatinine, </w:t>
      </w:r>
      <w:proofErr w:type="spellStart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eGFR</w:t>
      </w:r>
      <w:proofErr w:type="spellEnd"/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) is mandatory</w:t>
      </w:r>
      <w:r w:rsidR="008C1766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>in patients with HF.</w:t>
      </w:r>
    </w:p>
    <w:p w:rsidR="008C1766" w:rsidRPr="00BB4CF5" w:rsidRDefault="008C1766" w:rsidP="002024A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Pr="008C1766" w:rsidRDefault="0077347B" w:rsidP="00E20F64">
      <w:pPr>
        <w:autoSpaceDE w:val="0"/>
        <w:autoSpaceDN w:val="0"/>
        <w:bidi w:val="0"/>
        <w:adjustRightInd w:val="0"/>
        <w:spacing w:after="0" w:line="240" w:lineRule="auto"/>
        <w:jc w:val="both"/>
        <w:outlineLvl w:val="1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8C1766">
        <w:rPr>
          <w:rFonts w:asciiTheme="majorBidi" w:hAnsiTheme="majorBidi" w:cstheme="majorBidi"/>
          <w:b/>
          <w:bCs/>
          <w:color w:val="FF0000"/>
          <w:sz w:val="32"/>
          <w:szCs w:val="32"/>
        </w:rPr>
        <w:t>Acute Decompensated Heart Failure</w:t>
      </w:r>
    </w:p>
    <w:p w:rsidR="00EC630C" w:rsidRDefault="00EC630C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1-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Assess the efficacy of drug therapy with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</w:t>
      </w:r>
      <w:r w:rsidR="0077347B" w:rsidRPr="00F71021">
        <w:rPr>
          <w:rFonts w:asciiTheme="majorBidi" w:hAnsiTheme="majorBidi" w:cstheme="majorBidi"/>
          <w:b/>
          <w:bCs/>
          <w:color w:val="333333"/>
          <w:sz w:val="28"/>
          <w:szCs w:val="28"/>
        </w:rPr>
        <w:t>daily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monitoring of weight, strict fluid intake and output measurements, and HF signs/symptoms. </w:t>
      </w:r>
    </w:p>
    <w:p w:rsidR="00EC630C" w:rsidRPr="00BB4CF5" w:rsidRDefault="00EC630C" w:rsidP="00EC63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77347B" w:rsidRDefault="00EC630C" w:rsidP="00EC630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>
        <w:rPr>
          <w:rFonts w:asciiTheme="majorBidi" w:hAnsiTheme="majorBidi" w:cstheme="majorBidi"/>
          <w:color w:val="333333"/>
          <w:sz w:val="28"/>
          <w:szCs w:val="28"/>
        </w:rPr>
        <w:t>2-</w:t>
      </w:r>
      <w:r w:rsidR="0077347B" w:rsidRPr="00086554">
        <w:rPr>
          <w:rFonts w:asciiTheme="majorBidi" w:hAnsiTheme="majorBidi" w:cstheme="majorBidi"/>
          <w:b/>
          <w:bCs/>
          <w:color w:val="333333"/>
          <w:sz w:val="28"/>
          <w:szCs w:val="28"/>
        </w:rPr>
        <w:t>Monitor</w:t>
      </w:r>
      <w:r w:rsidR="008C1766" w:rsidRPr="0008655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="0077347B" w:rsidRPr="00086554">
        <w:rPr>
          <w:rFonts w:asciiTheme="majorBidi" w:hAnsiTheme="majorBidi" w:cstheme="majorBidi"/>
          <w:b/>
          <w:bCs/>
          <w:color w:val="333333"/>
          <w:sz w:val="28"/>
          <w:szCs w:val="28"/>
        </w:rPr>
        <w:t>frequently for</w:t>
      </w:r>
      <w:r w:rsidR="0077347B" w:rsidRPr="002024A7">
        <w:rPr>
          <w:rFonts w:asciiTheme="majorBidi" w:hAnsiTheme="majorBidi" w:cstheme="majorBidi"/>
          <w:color w:val="333333"/>
          <w:sz w:val="28"/>
          <w:szCs w:val="28"/>
        </w:rPr>
        <w:t xml:space="preserve"> electrolyte depletion, symptomatic hypotension, and renal dysfunction. Assess vital signs frequently throughout the day.</w:t>
      </w:r>
    </w:p>
    <w:p w:rsidR="008C1766" w:rsidRPr="00BB4CF5" w:rsidRDefault="008C1766" w:rsidP="008C176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16"/>
          <w:szCs w:val="16"/>
        </w:rPr>
      </w:pPr>
    </w:p>
    <w:p w:rsidR="00B527DA" w:rsidRDefault="00B527DA" w:rsidP="00B527DA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333333"/>
          <w:sz w:val="28"/>
          <w:szCs w:val="28"/>
        </w:rPr>
      </w:pPr>
      <w:r w:rsidRPr="00B527DA">
        <w:rPr>
          <w:rFonts w:asciiTheme="majorBidi" w:hAnsiTheme="majorBidi" w:cstheme="majorBidi"/>
          <w:b/>
          <w:bCs/>
          <w:color w:val="FF0000"/>
          <w:sz w:val="28"/>
          <w:szCs w:val="28"/>
        </w:rPr>
        <w:t>Reference</w:t>
      </w:r>
    </w:p>
    <w:p w:rsidR="00B527DA" w:rsidRPr="00627994" w:rsidRDefault="00B527DA" w:rsidP="0062799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333333"/>
          <w:sz w:val="28"/>
          <w:szCs w:val="28"/>
        </w:rPr>
      </w:pPr>
      <w:r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Joseph T. DiPiro, Robert L. Pharmacotherapy: A Pathophysiologic Approach,</w:t>
      </w:r>
      <w:r w:rsidR="00AA5DCA"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</w:t>
      </w:r>
      <w:r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1</w:t>
      </w:r>
      <w:r w:rsid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2</w:t>
      </w:r>
      <w:r w:rsidRPr="00627994">
        <w:rPr>
          <w:rFonts w:asciiTheme="majorBidi" w:hAnsiTheme="majorBidi" w:cstheme="majorBidi"/>
          <w:b/>
          <w:bCs/>
          <w:color w:val="333333"/>
          <w:sz w:val="28"/>
          <w:szCs w:val="28"/>
          <w:vertAlign w:val="superscript"/>
        </w:rPr>
        <w:t>th</w:t>
      </w:r>
      <w:r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 xml:space="preserve"> Edition. 202</w:t>
      </w:r>
      <w:r w:rsid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3</w:t>
      </w:r>
      <w:r w:rsidRPr="00627994">
        <w:rPr>
          <w:rFonts w:asciiTheme="majorBidi" w:hAnsiTheme="majorBidi" w:cstheme="majorBidi"/>
          <w:b/>
          <w:bCs/>
          <w:color w:val="333333"/>
          <w:sz w:val="28"/>
          <w:szCs w:val="28"/>
        </w:rPr>
        <w:t>.</w:t>
      </w:r>
    </w:p>
    <w:sectPr w:rsidR="00B527DA" w:rsidRPr="00627994" w:rsidSect="0045125D">
      <w:footerReference w:type="default" r:id="rId9"/>
      <w:pgSz w:w="11906" w:h="16838"/>
      <w:pgMar w:top="426" w:right="707" w:bottom="993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497" w:rsidRDefault="005B2497" w:rsidP="009C79FE">
      <w:pPr>
        <w:spacing w:after="0" w:line="240" w:lineRule="auto"/>
      </w:pPr>
      <w:r>
        <w:separator/>
      </w:r>
    </w:p>
  </w:endnote>
  <w:endnote w:type="continuationSeparator" w:id="0">
    <w:p w:rsidR="005B2497" w:rsidRDefault="005B2497" w:rsidP="009C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2188913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7C8F" w:rsidRDefault="00337C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717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7C8F" w:rsidRDefault="00337C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497" w:rsidRDefault="005B2497" w:rsidP="009C79FE">
      <w:pPr>
        <w:spacing w:after="0" w:line="240" w:lineRule="auto"/>
      </w:pPr>
      <w:r>
        <w:separator/>
      </w:r>
    </w:p>
  </w:footnote>
  <w:footnote w:type="continuationSeparator" w:id="0">
    <w:p w:rsidR="005B2497" w:rsidRDefault="005B2497" w:rsidP="009C7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E95"/>
    <w:multiLevelType w:val="hybridMultilevel"/>
    <w:tmpl w:val="3E62AF7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7D333B"/>
    <w:multiLevelType w:val="multilevel"/>
    <w:tmpl w:val="3E8A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85CA6"/>
    <w:multiLevelType w:val="multilevel"/>
    <w:tmpl w:val="22C4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61996"/>
    <w:multiLevelType w:val="hybridMultilevel"/>
    <w:tmpl w:val="4D2C216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53481"/>
    <w:multiLevelType w:val="multilevel"/>
    <w:tmpl w:val="D0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65938"/>
    <w:multiLevelType w:val="multilevel"/>
    <w:tmpl w:val="E572C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B08D5"/>
    <w:multiLevelType w:val="multilevel"/>
    <w:tmpl w:val="288E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4325B7"/>
    <w:multiLevelType w:val="multilevel"/>
    <w:tmpl w:val="504C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1E7DA1"/>
    <w:multiLevelType w:val="hybridMultilevel"/>
    <w:tmpl w:val="AB0E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B4162E"/>
    <w:multiLevelType w:val="hybridMultilevel"/>
    <w:tmpl w:val="2200AD10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AA5C53"/>
    <w:multiLevelType w:val="hybridMultilevel"/>
    <w:tmpl w:val="59E8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C532D"/>
    <w:multiLevelType w:val="hybridMultilevel"/>
    <w:tmpl w:val="4A6C6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76D60"/>
    <w:multiLevelType w:val="hybridMultilevel"/>
    <w:tmpl w:val="993C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B1BA1"/>
    <w:multiLevelType w:val="hybridMultilevel"/>
    <w:tmpl w:val="38AEC1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F0928CC"/>
    <w:multiLevelType w:val="multilevel"/>
    <w:tmpl w:val="846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82C1B"/>
    <w:multiLevelType w:val="hybridMultilevel"/>
    <w:tmpl w:val="88967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23984"/>
    <w:multiLevelType w:val="hybridMultilevel"/>
    <w:tmpl w:val="8992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10"/>
  </w:num>
  <w:num w:numId="9">
    <w:abstractNumId w:val="11"/>
  </w:num>
  <w:num w:numId="10">
    <w:abstractNumId w:val="16"/>
  </w:num>
  <w:num w:numId="11">
    <w:abstractNumId w:val="12"/>
  </w:num>
  <w:num w:numId="12">
    <w:abstractNumId w:val="8"/>
  </w:num>
  <w:num w:numId="13">
    <w:abstractNumId w:val="3"/>
  </w:num>
  <w:num w:numId="14">
    <w:abstractNumId w:val="15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C1"/>
    <w:rsid w:val="00002C93"/>
    <w:rsid w:val="00011768"/>
    <w:rsid w:val="00022299"/>
    <w:rsid w:val="000746CE"/>
    <w:rsid w:val="00085EC1"/>
    <w:rsid w:val="00086554"/>
    <w:rsid w:val="000A39DD"/>
    <w:rsid w:val="000B478D"/>
    <w:rsid w:val="000D6AAF"/>
    <w:rsid w:val="000F5D8E"/>
    <w:rsid w:val="00126BAA"/>
    <w:rsid w:val="001369C1"/>
    <w:rsid w:val="001467B2"/>
    <w:rsid w:val="0018108D"/>
    <w:rsid w:val="001835C9"/>
    <w:rsid w:val="00191C7D"/>
    <w:rsid w:val="001A0CEA"/>
    <w:rsid w:val="001A4491"/>
    <w:rsid w:val="001B1BDC"/>
    <w:rsid w:val="001C7900"/>
    <w:rsid w:val="001D23A1"/>
    <w:rsid w:val="001E6AD2"/>
    <w:rsid w:val="001F3F9F"/>
    <w:rsid w:val="0020234D"/>
    <w:rsid w:val="002024A7"/>
    <w:rsid w:val="00202D23"/>
    <w:rsid w:val="0023109D"/>
    <w:rsid w:val="00240FC2"/>
    <w:rsid w:val="002415F8"/>
    <w:rsid w:val="0026717F"/>
    <w:rsid w:val="00293D7B"/>
    <w:rsid w:val="002A56DF"/>
    <w:rsid w:val="002F42C5"/>
    <w:rsid w:val="00307E17"/>
    <w:rsid w:val="00324617"/>
    <w:rsid w:val="00324E72"/>
    <w:rsid w:val="003303BF"/>
    <w:rsid w:val="003310D9"/>
    <w:rsid w:val="00337A94"/>
    <w:rsid w:val="00337C8F"/>
    <w:rsid w:val="00345835"/>
    <w:rsid w:val="00347D77"/>
    <w:rsid w:val="00394517"/>
    <w:rsid w:val="003B1A02"/>
    <w:rsid w:val="003C1E95"/>
    <w:rsid w:val="003D563D"/>
    <w:rsid w:val="003F1330"/>
    <w:rsid w:val="003F1A57"/>
    <w:rsid w:val="003F21B7"/>
    <w:rsid w:val="003F5F6F"/>
    <w:rsid w:val="003F7B07"/>
    <w:rsid w:val="00405882"/>
    <w:rsid w:val="00420C39"/>
    <w:rsid w:val="00423E59"/>
    <w:rsid w:val="00430B69"/>
    <w:rsid w:val="00432419"/>
    <w:rsid w:val="0045071B"/>
    <w:rsid w:val="0045125D"/>
    <w:rsid w:val="004722A3"/>
    <w:rsid w:val="004752B9"/>
    <w:rsid w:val="0048401C"/>
    <w:rsid w:val="00487060"/>
    <w:rsid w:val="004908F7"/>
    <w:rsid w:val="004A73A6"/>
    <w:rsid w:val="004B2945"/>
    <w:rsid w:val="004B6F1E"/>
    <w:rsid w:val="004E1DCC"/>
    <w:rsid w:val="00516926"/>
    <w:rsid w:val="005627C5"/>
    <w:rsid w:val="00583888"/>
    <w:rsid w:val="005B2497"/>
    <w:rsid w:val="005C3F80"/>
    <w:rsid w:val="005D1A07"/>
    <w:rsid w:val="005D3E7B"/>
    <w:rsid w:val="005F7AC2"/>
    <w:rsid w:val="00622B43"/>
    <w:rsid w:val="00627994"/>
    <w:rsid w:val="0063410E"/>
    <w:rsid w:val="0065062A"/>
    <w:rsid w:val="00653546"/>
    <w:rsid w:val="00653A5B"/>
    <w:rsid w:val="00655FED"/>
    <w:rsid w:val="00660CED"/>
    <w:rsid w:val="00690A20"/>
    <w:rsid w:val="006A26C3"/>
    <w:rsid w:val="006A62B0"/>
    <w:rsid w:val="006D0591"/>
    <w:rsid w:val="00701BAE"/>
    <w:rsid w:val="00712975"/>
    <w:rsid w:val="00721505"/>
    <w:rsid w:val="007404A7"/>
    <w:rsid w:val="00741490"/>
    <w:rsid w:val="00747F03"/>
    <w:rsid w:val="00761A5B"/>
    <w:rsid w:val="007621C3"/>
    <w:rsid w:val="007712FF"/>
    <w:rsid w:val="0077347B"/>
    <w:rsid w:val="00773A31"/>
    <w:rsid w:val="007A0A8A"/>
    <w:rsid w:val="007B6004"/>
    <w:rsid w:val="007E68A8"/>
    <w:rsid w:val="007F19A1"/>
    <w:rsid w:val="007F7534"/>
    <w:rsid w:val="00800426"/>
    <w:rsid w:val="00804049"/>
    <w:rsid w:val="00804825"/>
    <w:rsid w:val="00816706"/>
    <w:rsid w:val="00825933"/>
    <w:rsid w:val="0084412D"/>
    <w:rsid w:val="00873508"/>
    <w:rsid w:val="008B006C"/>
    <w:rsid w:val="008B4BC1"/>
    <w:rsid w:val="008C1766"/>
    <w:rsid w:val="008D2536"/>
    <w:rsid w:val="008D5E15"/>
    <w:rsid w:val="008D7966"/>
    <w:rsid w:val="008E28D7"/>
    <w:rsid w:val="00906EB5"/>
    <w:rsid w:val="00926008"/>
    <w:rsid w:val="00956828"/>
    <w:rsid w:val="00960692"/>
    <w:rsid w:val="009608D6"/>
    <w:rsid w:val="00971848"/>
    <w:rsid w:val="00987645"/>
    <w:rsid w:val="009B0D47"/>
    <w:rsid w:val="009B224B"/>
    <w:rsid w:val="009C4D71"/>
    <w:rsid w:val="009C79FE"/>
    <w:rsid w:val="009D31BD"/>
    <w:rsid w:val="009E60CC"/>
    <w:rsid w:val="00A07CCC"/>
    <w:rsid w:val="00A26085"/>
    <w:rsid w:val="00A4359E"/>
    <w:rsid w:val="00A4401F"/>
    <w:rsid w:val="00A5155A"/>
    <w:rsid w:val="00A532FE"/>
    <w:rsid w:val="00A55308"/>
    <w:rsid w:val="00A736B8"/>
    <w:rsid w:val="00A7600B"/>
    <w:rsid w:val="00A8009A"/>
    <w:rsid w:val="00A81322"/>
    <w:rsid w:val="00A83FB6"/>
    <w:rsid w:val="00A966DA"/>
    <w:rsid w:val="00A969AE"/>
    <w:rsid w:val="00AA5DCA"/>
    <w:rsid w:val="00AB66BE"/>
    <w:rsid w:val="00AD10F0"/>
    <w:rsid w:val="00AD3BD4"/>
    <w:rsid w:val="00AD761C"/>
    <w:rsid w:val="00AE1E84"/>
    <w:rsid w:val="00AE5C7D"/>
    <w:rsid w:val="00AF1F78"/>
    <w:rsid w:val="00AF560B"/>
    <w:rsid w:val="00B17CB0"/>
    <w:rsid w:val="00B22874"/>
    <w:rsid w:val="00B239BF"/>
    <w:rsid w:val="00B418A6"/>
    <w:rsid w:val="00B503F7"/>
    <w:rsid w:val="00B527DA"/>
    <w:rsid w:val="00B75789"/>
    <w:rsid w:val="00B834B0"/>
    <w:rsid w:val="00B94318"/>
    <w:rsid w:val="00BB4CF5"/>
    <w:rsid w:val="00BD69C4"/>
    <w:rsid w:val="00BE6797"/>
    <w:rsid w:val="00BF062B"/>
    <w:rsid w:val="00BF3D79"/>
    <w:rsid w:val="00C2374F"/>
    <w:rsid w:val="00C3347D"/>
    <w:rsid w:val="00C33EF6"/>
    <w:rsid w:val="00C35779"/>
    <w:rsid w:val="00C67677"/>
    <w:rsid w:val="00C700FA"/>
    <w:rsid w:val="00C72C08"/>
    <w:rsid w:val="00C75F21"/>
    <w:rsid w:val="00C912D4"/>
    <w:rsid w:val="00C93E8A"/>
    <w:rsid w:val="00CB0602"/>
    <w:rsid w:val="00CD0420"/>
    <w:rsid w:val="00CE254F"/>
    <w:rsid w:val="00D06001"/>
    <w:rsid w:val="00D06DBA"/>
    <w:rsid w:val="00D16FD5"/>
    <w:rsid w:val="00D35FDB"/>
    <w:rsid w:val="00D4331A"/>
    <w:rsid w:val="00D56E4D"/>
    <w:rsid w:val="00D83F5A"/>
    <w:rsid w:val="00D85713"/>
    <w:rsid w:val="00DA6BB8"/>
    <w:rsid w:val="00DD24DE"/>
    <w:rsid w:val="00DD3B5C"/>
    <w:rsid w:val="00DD3E17"/>
    <w:rsid w:val="00DD4C24"/>
    <w:rsid w:val="00DE2541"/>
    <w:rsid w:val="00E0566E"/>
    <w:rsid w:val="00E05705"/>
    <w:rsid w:val="00E20F64"/>
    <w:rsid w:val="00E26382"/>
    <w:rsid w:val="00E407F9"/>
    <w:rsid w:val="00E67F14"/>
    <w:rsid w:val="00E7219D"/>
    <w:rsid w:val="00E90342"/>
    <w:rsid w:val="00EA27D9"/>
    <w:rsid w:val="00EA3500"/>
    <w:rsid w:val="00EB0B76"/>
    <w:rsid w:val="00EB1305"/>
    <w:rsid w:val="00EC630C"/>
    <w:rsid w:val="00EF11A3"/>
    <w:rsid w:val="00EF4543"/>
    <w:rsid w:val="00EF71B5"/>
    <w:rsid w:val="00F00195"/>
    <w:rsid w:val="00F0769C"/>
    <w:rsid w:val="00F12F03"/>
    <w:rsid w:val="00F27D50"/>
    <w:rsid w:val="00F51847"/>
    <w:rsid w:val="00F6798A"/>
    <w:rsid w:val="00F71021"/>
    <w:rsid w:val="00F73EC3"/>
    <w:rsid w:val="00F8579A"/>
    <w:rsid w:val="00FA2811"/>
    <w:rsid w:val="00FC7499"/>
    <w:rsid w:val="00FD09C5"/>
    <w:rsid w:val="00FD41D4"/>
    <w:rsid w:val="00F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79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79FE"/>
    <w:rPr>
      <w:color w:val="800080"/>
      <w:u w:val="single"/>
    </w:rPr>
  </w:style>
  <w:style w:type="paragraph" w:customStyle="1" w:styleId="disclosurelink">
    <w:name w:val="disclosurelink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mphasis1">
    <w:name w:val="Emphasis1"/>
    <w:basedOn w:val="DefaultParagraphFont"/>
    <w:rsid w:val="009C79FE"/>
  </w:style>
  <w:style w:type="paragraph" w:customStyle="1" w:styleId="headinganchor">
    <w:name w:val="headinganchor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9C79FE"/>
  </w:style>
  <w:style w:type="character" w:customStyle="1" w:styleId="headingendmark">
    <w:name w:val="headingendmark"/>
    <w:basedOn w:val="DefaultParagraphFont"/>
    <w:rsid w:val="009C79FE"/>
  </w:style>
  <w:style w:type="paragraph" w:styleId="NormalWeb">
    <w:name w:val="Normal (Web)"/>
    <w:basedOn w:val="Normal"/>
    <w:uiPriority w:val="99"/>
    <w:semiHidden/>
    <w:unhideWhenUsed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2">
    <w:name w:val="h2"/>
    <w:basedOn w:val="DefaultParagraphFont"/>
    <w:rsid w:val="009C79FE"/>
  </w:style>
  <w:style w:type="character" w:customStyle="1" w:styleId="nowrap">
    <w:name w:val="nowrap"/>
    <w:basedOn w:val="DefaultParagraphFont"/>
    <w:rsid w:val="009C79FE"/>
  </w:style>
  <w:style w:type="paragraph" w:customStyle="1" w:styleId="bulletindent1">
    <w:name w:val="bulletindent1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yph">
    <w:name w:val="glyph"/>
    <w:basedOn w:val="DefaultParagraphFont"/>
    <w:rsid w:val="009C79FE"/>
  </w:style>
  <w:style w:type="paragraph" w:customStyle="1" w:styleId="bulletindent2">
    <w:name w:val="bulletindent2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3">
    <w:name w:val="h3"/>
    <w:basedOn w:val="DefaultParagraphFont"/>
    <w:rsid w:val="009C79FE"/>
  </w:style>
  <w:style w:type="character" w:styleId="Strong">
    <w:name w:val="Strong"/>
    <w:basedOn w:val="DefaultParagraphFont"/>
    <w:uiPriority w:val="22"/>
    <w:qFormat/>
    <w:rsid w:val="009C79FE"/>
    <w:rPr>
      <w:b/>
      <w:bCs/>
    </w:rPr>
  </w:style>
  <w:style w:type="character" w:customStyle="1" w:styleId="h4">
    <w:name w:val="h4"/>
    <w:basedOn w:val="DefaultParagraphFont"/>
    <w:rsid w:val="009C79FE"/>
  </w:style>
  <w:style w:type="paragraph" w:customStyle="1" w:styleId="bulletindent3">
    <w:name w:val="bulletindent3"/>
    <w:basedOn w:val="Normal"/>
    <w:rsid w:val="009C79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FE"/>
  </w:style>
  <w:style w:type="paragraph" w:styleId="Footer">
    <w:name w:val="footer"/>
    <w:basedOn w:val="Normal"/>
    <w:link w:val="FooterChar"/>
    <w:uiPriority w:val="99"/>
    <w:unhideWhenUsed/>
    <w:rsid w:val="009C79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9FE"/>
  </w:style>
  <w:style w:type="paragraph" w:styleId="BalloonText">
    <w:name w:val="Balloon Text"/>
    <w:basedOn w:val="Normal"/>
    <w:link w:val="BalloonTextChar"/>
    <w:uiPriority w:val="99"/>
    <w:semiHidden/>
    <w:unhideWhenUsed/>
    <w:rsid w:val="00B83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4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2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phasis2">
    <w:name w:val="Emphasis2"/>
    <w:basedOn w:val="DefaultParagraphFont"/>
    <w:rsid w:val="00D85713"/>
  </w:style>
  <w:style w:type="paragraph" w:styleId="ListParagraph">
    <w:name w:val="List Paragraph"/>
    <w:basedOn w:val="Normal"/>
    <w:uiPriority w:val="34"/>
    <w:qFormat/>
    <w:rsid w:val="001C7900"/>
    <w:pPr>
      <w:ind w:left="720"/>
      <w:contextualSpacing/>
    </w:pPr>
  </w:style>
  <w:style w:type="paragraph" w:customStyle="1" w:styleId="Default">
    <w:name w:val="Default"/>
    <w:rsid w:val="00A969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00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3327293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416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61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4421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328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3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97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990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283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</w:divsChild>
    </w:div>
    <w:div w:id="1063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685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77551667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40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395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2047901227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885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5869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155344113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422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012">
          <w:marLeft w:val="0"/>
          <w:marRight w:val="0"/>
          <w:marTop w:val="0"/>
          <w:marBottom w:val="0"/>
          <w:divBdr>
            <w:top w:val="single" w:sz="36" w:space="0" w:color="009966"/>
            <w:left w:val="none" w:sz="0" w:space="0" w:color="auto"/>
            <w:bottom w:val="single" w:sz="12" w:space="0" w:color="009966"/>
            <w:right w:val="none" w:sz="0" w:space="0" w:color="auto"/>
          </w:divBdr>
        </w:div>
        <w:div w:id="134486530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3764">
          <w:marLeft w:val="0"/>
          <w:marRight w:val="0"/>
          <w:marTop w:val="0"/>
          <w:marBottom w:val="0"/>
          <w:divBdr>
            <w:top w:val="single" w:sz="6" w:space="5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1C91-46DE-4AC7-B5EC-EF7C931E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76</cp:revision>
  <cp:lastPrinted>2023-05-06T14:50:00Z</cp:lastPrinted>
  <dcterms:created xsi:type="dcterms:W3CDTF">2020-05-04T12:27:00Z</dcterms:created>
  <dcterms:modified xsi:type="dcterms:W3CDTF">2023-08-14T15:05:00Z</dcterms:modified>
</cp:coreProperties>
</file>