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C05" w:rsidRDefault="002A1C05" w:rsidP="00E2777F">
      <w:pPr>
        <w:spacing w:after="0" w:line="276" w:lineRule="auto"/>
        <w:jc w:val="both"/>
        <w:rPr>
          <w:rFonts w:ascii="Berlin Sans FB Demi" w:hAnsi="Berlin Sans FB Demi"/>
          <w:sz w:val="32"/>
          <w:szCs w:val="32"/>
        </w:rPr>
      </w:pPr>
    </w:p>
    <w:p w:rsidR="002A1C05" w:rsidRPr="00947FF0" w:rsidRDefault="009641A8" w:rsidP="00E2777F">
      <w:pPr>
        <w:spacing w:after="0" w:line="276" w:lineRule="auto"/>
        <w:jc w:val="center"/>
        <w:rPr>
          <w:rFonts w:ascii="Berlin Sans FB Demi" w:hAnsi="Berlin Sans FB Demi"/>
          <w:rtl/>
        </w:rPr>
      </w:pPr>
      <w:r>
        <w:rPr>
          <w:rFonts w:ascii="Berlin Sans FB Demi" w:hAnsi="Berlin Sans FB Demi"/>
          <w:sz w:val="32"/>
          <w:szCs w:val="32"/>
        </w:rPr>
        <w:t>Endocrinal Disorders</w:t>
      </w:r>
    </w:p>
    <w:p w:rsidR="00FF42F9" w:rsidRDefault="00FF42F9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FF42F9" w:rsidRDefault="00FF42F9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FF42F9" w:rsidRPr="00FF42F9" w:rsidRDefault="00FF42F9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FF42F9">
        <w:rPr>
          <w:rFonts w:asciiTheme="minorBidi" w:hAnsiTheme="minorBidi"/>
          <w:b/>
          <w:bCs/>
          <w:sz w:val="24"/>
          <w:szCs w:val="24"/>
          <w:highlight w:val="lightGray"/>
        </w:rPr>
        <w:t>Introduction</w:t>
      </w:r>
    </w:p>
    <w:p w:rsidR="00FF42F9" w:rsidRPr="00FF42F9" w:rsidRDefault="00FF42F9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FF42F9">
        <w:rPr>
          <w:rFonts w:asciiTheme="minorBidi" w:hAnsiTheme="minorBidi"/>
          <w:sz w:val="24"/>
          <w:szCs w:val="24"/>
        </w:rPr>
        <w:t>Four systems in the human body are responsible for the integration and coordination of various body functions; these systems are:</w:t>
      </w:r>
    </w:p>
    <w:p w:rsidR="00FF42F9" w:rsidRPr="00FF42F9" w:rsidRDefault="00FF42F9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FF42F9">
        <w:rPr>
          <w:rFonts w:asciiTheme="minorBidi" w:hAnsiTheme="minorBidi"/>
          <w:sz w:val="24"/>
          <w:szCs w:val="24"/>
        </w:rPr>
        <w:t>1- Nervous system</w:t>
      </w:r>
    </w:p>
    <w:p w:rsidR="00FF42F9" w:rsidRPr="00FF42F9" w:rsidRDefault="00FF42F9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FF42F9">
        <w:rPr>
          <w:rFonts w:asciiTheme="minorBidi" w:hAnsiTheme="minorBidi"/>
          <w:sz w:val="24"/>
          <w:szCs w:val="24"/>
        </w:rPr>
        <w:t>2- Circulatory system</w:t>
      </w:r>
    </w:p>
    <w:p w:rsidR="00FF42F9" w:rsidRPr="00FF42F9" w:rsidRDefault="00FF42F9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FF42F9">
        <w:rPr>
          <w:rFonts w:asciiTheme="minorBidi" w:hAnsiTheme="minorBidi"/>
          <w:sz w:val="24"/>
          <w:szCs w:val="24"/>
        </w:rPr>
        <w:t>3- Immune system</w:t>
      </w:r>
    </w:p>
    <w:p w:rsidR="00FF42F9" w:rsidRDefault="00FF42F9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FF42F9">
        <w:rPr>
          <w:rFonts w:asciiTheme="minorBidi" w:hAnsiTheme="minorBidi"/>
          <w:sz w:val="24"/>
          <w:szCs w:val="24"/>
        </w:rPr>
        <w:t>4- Endocrine system</w:t>
      </w:r>
    </w:p>
    <w:p w:rsidR="00FF42F9" w:rsidRDefault="00FF42F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FF42F9" w:rsidRDefault="00FF42F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The</w:t>
      </w:r>
      <w:r w:rsidRPr="00BB5AA9">
        <w:rPr>
          <w:rFonts w:asciiTheme="minorBidi" w:hAnsiTheme="minorBidi"/>
          <w:sz w:val="24"/>
          <w:szCs w:val="24"/>
        </w:rPr>
        <w:t xml:space="preserve"> hypothalamus </w:t>
      </w:r>
      <w:r>
        <w:rPr>
          <w:rFonts w:asciiTheme="minorBidi" w:hAnsiTheme="minorBidi"/>
          <w:sz w:val="24"/>
          <w:szCs w:val="24"/>
        </w:rPr>
        <w:t xml:space="preserve">represents the main mediator </w:t>
      </w:r>
      <w:r w:rsidRPr="00A07B1A">
        <w:rPr>
          <w:rFonts w:asciiTheme="minorBidi" w:hAnsiTheme="minorBidi"/>
          <w:sz w:val="24"/>
          <w:szCs w:val="24"/>
        </w:rPr>
        <w:t xml:space="preserve">between the </w:t>
      </w:r>
      <w:r>
        <w:rPr>
          <w:rFonts w:asciiTheme="minorBidi" w:hAnsiTheme="minorBidi"/>
          <w:sz w:val="24"/>
          <w:szCs w:val="24"/>
        </w:rPr>
        <w:t>CNS and the endocrine system</w:t>
      </w:r>
      <w:r w:rsidRPr="00A07B1A">
        <w:rPr>
          <w:rFonts w:asciiTheme="minorBidi" w:hAnsiTheme="minorBidi"/>
          <w:sz w:val="24"/>
          <w:szCs w:val="24"/>
        </w:rPr>
        <w:t>, which is at</w:t>
      </w:r>
      <w:r>
        <w:rPr>
          <w:rFonts w:asciiTheme="minorBidi" w:hAnsiTheme="minorBidi"/>
          <w:sz w:val="24"/>
          <w:szCs w:val="24"/>
        </w:rPr>
        <w:t xml:space="preserve"> </w:t>
      </w:r>
      <w:r w:rsidRPr="00A07B1A">
        <w:rPr>
          <w:rFonts w:asciiTheme="minorBidi" w:hAnsiTheme="minorBidi"/>
          <w:sz w:val="24"/>
          <w:szCs w:val="24"/>
        </w:rPr>
        <w:t>the same time an integral part of the central nervous system and an endocrine</w:t>
      </w:r>
      <w:r>
        <w:rPr>
          <w:rFonts w:asciiTheme="minorBidi" w:hAnsiTheme="minorBidi"/>
          <w:sz w:val="24"/>
          <w:szCs w:val="24"/>
        </w:rPr>
        <w:t xml:space="preserve"> </w:t>
      </w:r>
      <w:r w:rsidRPr="00A07B1A">
        <w:rPr>
          <w:rFonts w:asciiTheme="minorBidi" w:hAnsiTheme="minorBidi"/>
          <w:sz w:val="24"/>
          <w:szCs w:val="24"/>
        </w:rPr>
        <w:t xml:space="preserve">gland. </w:t>
      </w:r>
    </w:p>
    <w:p w:rsidR="00FF42F9" w:rsidRDefault="00FF42F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BB5AA9">
        <w:rPr>
          <w:rFonts w:asciiTheme="minorBidi" w:hAnsiTheme="minorBidi"/>
          <w:sz w:val="24"/>
          <w:szCs w:val="24"/>
        </w:rPr>
        <w:t>The hypothalamus</w:t>
      </w:r>
      <w:r>
        <w:rPr>
          <w:rFonts w:asciiTheme="minorBidi" w:hAnsiTheme="minorBidi"/>
          <w:sz w:val="24"/>
          <w:szCs w:val="24"/>
        </w:rPr>
        <w:t xml:space="preserve"> controls </w:t>
      </w:r>
      <w:r w:rsidRPr="00BB5AA9">
        <w:rPr>
          <w:rFonts w:asciiTheme="minorBidi" w:hAnsiTheme="minorBidi"/>
          <w:sz w:val="24"/>
          <w:szCs w:val="24"/>
        </w:rPr>
        <w:t xml:space="preserve">the function of the </w:t>
      </w:r>
      <w:r w:rsidRPr="00BB5AA9">
        <w:rPr>
          <w:rFonts w:asciiTheme="minorBidi" w:hAnsiTheme="minorBidi" w:hint="cs"/>
          <w:sz w:val="24"/>
          <w:szCs w:val="24"/>
        </w:rPr>
        <w:t>“</w:t>
      </w:r>
      <w:r w:rsidRPr="00BB5AA9">
        <w:rPr>
          <w:rFonts w:asciiTheme="minorBidi" w:hAnsiTheme="minorBidi"/>
          <w:sz w:val="24"/>
          <w:szCs w:val="24"/>
        </w:rPr>
        <w:t>peripheral</w:t>
      </w:r>
      <w:r w:rsidRPr="00BB5AA9">
        <w:rPr>
          <w:rFonts w:asciiTheme="minorBidi" w:hAnsiTheme="minorBidi" w:hint="cs"/>
          <w:sz w:val="24"/>
          <w:szCs w:val="24"/>
        </w:rPr>
        <w:t>”</w:t>
      </w:r>
      <w:r w:rsidRPr="00BB5AA9">
        <w:rPr>
          <w:rFonts w:asciiTheme="minorBidi" w:hAnsiTheme="minorBidi"/>
          <w:sz w:val="24"/>
          <w:szCs w:val="24"/>
        </w:rPr>
        <w:t xml:space="preserve"> endocrine glands such as adrenal and thyroid glands</w:t>
      </w:r>
      <w:r>
        <w:rPr>
          <w:rFonts w:asciiTheme="minorBidi" w:hAnsiTheme="minorBidi"/>
          <w:sz w:val="24"/>
          <w:szCs w:val="24"/>
        </w:rPr>
        <w:t xml:space="preserve"> v</w:t>
      </w:r>
      <w:r w:rsidRPr="00BB5AA9">
        <w:rPr>
          <w:rFonts w:asciiTheme="minorBidi" w:hAnsiTheme="minorBidi"/>
          <w:sz w:val="24"/>
          <w:szCs w:val="24"/>
        </w:rPr>
        <w:t>ia the pituitary gland</w:t>
      </w:r>
      <w:r>
        <w:rPr>
          <w:rFonts w:asciiTheme="minorBidi" w:hAnsiTheme="minorBidi"/>
          <w:sz w:val="24"/>
          <w:szCs w:val="24"/>
        </w:rPr>
        <w:t>.</w:t>
      </w:r>
    </w:p>
    <w:p w:rsidR="00FF42F9" w:rsidRDefault="00FF42F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FF42F9" w:rsidRPr="00D91181" w:rsidRDefault="00FF42F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4378A3">
        <w:rPr>
          <w:rFonts w:asciiTheme="minorBidi" w:hAnsiTheme="minorBidi"/>
          <w:b/>
          <w:bCs/>
          <w:sz w:val="24"/>
          <w:szCs w:val="24"/>
          <w:highlight w:val="lightGray"/>
        </w:rPr>
        <w:t>Pituitary Gland</w:t>
      </w:r>
    </w:p>
    <w:p w:rsidR="00FF42F9" w:rsidRDefault="00FF42F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D91181">
        <w:rPr>
          <w:rFonts w:asciiTheme="minorBidi" w:hAnsiTheme="minorBidi"/>
          <w:sz w:val="24"/>
          <w:szCs w:val="24"/>
        </w:rPr>
        <w:t>The pituitary gland is a complex gland consisting of hormone-producing</w:t>
      </w:r>
      <w:r>
        <w:rPr>
          <w:rFonts w:asciiTheme="minorBidi" w:hAnsiTheme="minorBidi"/>
          <w:sz w:val="24"/>
          <w:szCs w:val="24"/>
        </w:rPr>
        <w:t xml:space="preserve"> </w:t>
      </w:r>
      <w:r w:rsidRPr="00D91181">
        <w:rPr>
          <w:rFonts w:asciiTheme="minorBidi" w:hAnsiTheme="minorBidi"/>
          <w:sz w:val="24"/>
          <w:szCs w:val="24"/>
        </w:rPr>
        <w:t>adenoid (glandular) cells (anterior pituitary) and the axon terminals</w:t>
      </w:r>
      <w:r>
        <w:rPr>
          <w:rFonts w:asciiTheme="minorBidi" w:hAnsiTheme="minorBidi"/>
          <w:sz w:val="24"/>
          <w:szCs w:val="24"/>
        </w:rPr>
        <w:t xml:space="preserve"> </w:t>
      </w:r>
      <w:r w:rsidRPr="00D91181">
        <w:rPr>
          <w:rFonts w:asciiTheme="minorBidi" w:hAnsiTheme="minorBidi"/>
          <w:sz w:val="24"/>
          <w:szCs w:val="24"/>
        </w:rPr>
        <w:t>of neurosecretory cells originating in the hypothalamus (posterior</w:t>
      </w:r>
      <w:r>
        <w:rPr>
          <w:rFonts w:asciiTheme="minorBidi" w:hAnsiTheme="minorBidi"/>
          <w:sz w:val="24"/>
          <w:szCs w:val="24"/>
        </w:rPr>
        <w:t xml:space="preserve"> </w:t>
      </w:r>
      <w:r w:rsidRPr="00D91181">
        <w:rPr>
          <w:rFonts w:asciiTheme="minorBidi" w:hAnsiTheme="minorBidi"/>
          <w:sz w:val="24"/>
          <w:szCs w:val="24"/>
        </w:rPr>
        <w:t>pituitary).</w:t>
      </w:r>
      <w:r>
        <w:rPr>
          <w:rFonts w:asciiTheme="minorBidi" w:hAnsiTheme="minorBidi"/>
          <w:sz w:val="24"/>
          <w:szCs w:val="24"/>
        </w:rPr>
        <w:t xml:space="preserve"> It </w:t>
      </w:r>
      <w:r w:rsidRPr="00640DB8">
        <w:rPr>
          <w:rFonts w:asciiTheme="minorBidi" w:hAnsiTheme="minorBidi"/>
          <w:sz w:val="24"/>
          <w:szCs w:val="24"/>
        </w:rPr>
        <w:t>is a pea</w:t>
      </w:r>
      <w:r>
        <w:rPr>
          <w:rFonts w:asciiTheme="minorBidi" w:hAnsiTheme="minorBidi"/>
          <w:sz w:val="24"/>
          <w:szCs w:val="24"/>
        </w:rPr>
        <w:t>-sized endocrine gland located at the base of the brain, o</w:t>
      </w:r>
      <w:r w:rsidRPr="00640DB8">
        <w:rPr>
          <w:rFonts w:asciiTheme="minorBidi" w:hAnsiTheme="minorBidi"/>
          <w:sz w:val="24"/>
          <w:szCs w:val="24"/>
        </w:rPr>
        <w:t>ften referred to as the “master gland”</w:t>
      </w:r>
      <w:r>
        <w:rPr>
          <w:rFonts w:asciiTheme="minorBidi" w:hAnsiTheme="minorBidi"/>
          <w:sz w:val="24"/>
          <w:szCs w:val="24"/>
        </w:rPr>
        <w:t>.</w:t>
      </w:r>
    </w:p>
    <w:p w:rsid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FF42F9" w:rsidRPr="00151E7A" w:rsidRDefault="00FF42F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4378A3">
        <w:rPr>
          <w:rFonts w:asciiTheme="minorBidi" w:hAnsiTheme="minorBidi"/>
          <w:b/>
          <w:bCs/>
          <w:sz w:val="24"/>
          <w:szCs w:val="24"/>
          <w:highlight w:val="lightGray"/>
        </w:rPr>
        <w:t>Posterior pituitary hormones</w:t>
      </w:r>
    </w:p>
    <w:p w:rsidR="00FF42F9" w:rsidRDefault="00FF42F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151E7A">
        <w:rPr>
          <w:rFonts w:asciiTheme="minorBidi" w:hAnsiTheme="minorBidi"/>
          <w:sz w:val="24"/>
          <w:szCs w:val="24"/>
        </w:rPr>
        <w:t>ADH</w:t>
      </w:r>
      <w:r>
        <w:rPr>
          <w:rFonts w:asciiTheme="minorBidi" w:hAnsiTheme="minorBidi"/>
          <w:sz w:val="24"/>
          <w:szCs w:val="24"/>
        </w:rPr>
        <w:t xml:space="preserve"> </w:t>
      </w:r>
      <w:r w:rsidRPr="00151E7A">
        <w:rPr>
          <w:rFonts w:asciiTheme="minorBidi" w:hAnsiTheme="minorBidi"/>
          <w:sz w:val="24"/>
          <w:szCs w:val="24"/>
        </w:rPr>
        <w:t>and oxytocin are the two hormones released by the posterior pituitary.</w:t>
      </w:r>
      <w:r>
        <w:rPr>
          <w:rFonts w:asciiTheme="minorBidi" w:hAnsiTheme="minorBidi"/>
          <w:sz w:val="24"/>
          <w:szCs w:val="24"/>
        </w:rPr>
        <w:t xml:space="preserve"> </w:t>
      </w:r>
    </w:p>
    <w:p w:rsidR="00E93093" w:rsidRDefault="00FF42F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151E7A">
        <w:rPr>
          <w:rFonts w:asciiTheme="minorBidi" w:hAnsiTheme="minorBidi"/>
          <w:sz w:val="24"/>
          <w:szCs w:val="24"/>
        </w:rPr>
        <w:t>ADH is responsible for osmotic homeostasis (it</w:t>
      </w:r>
      <w:r>
        <w:rPr>
          <w:rFonts w:asciiTheme="minorBidi" w:hAnsiTheme="minorBidi"/>
          <w:sz w:val="24"/>
          <w:szCs w:val="24"/>
        </w:rPr>
        <w:t xml:space="preserve"> </w:t>
      </w:r>
      <w:r w:rsidRPr="00151E7A">
        <w:rPr>
          <w:rFonts w:asciiTheme="minorBidi" w:hAnsiTheme="minorBidi"/>
          <w:sz w:val="24"/>
          <w:szCs w:val="24"/>
        </w:rPr>
        <w:t xml:space="preserve">decreases the free water clearance in kidneys and stimulates thirst) </w:t>
      </w:r>
      <w:r w:rsidR="00E93093">
        <w:rPr>
          <w:rFonts w:asciiTheme="minorBidi" w:hAnsiTheme="minorBidi"/>
          <w:sz w:val="24"/>
          <w:szCs w:val="24"/>
        </w:rPr>
        <w:t>.</w:t>
      </w:r>
    </w:p>
    <w:p w:rsidR="00FF42F9" w:rsidRDefault="00FF42F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151E7A">
        <w:rPr>
          <w:rFonts w:asciiTheme="minorBidi" w:hAnsiTheme="minorBidi"/>
          <w:sz w:val="24"/>
          <w:szCs w:val="24"/>
        </w:rPr>
        <w:t>Oxytocin mostly acts at the uterine smooth muscle and the smooth</w:t>
      </w:r>
      <w:r>
        <w:rPr>
          <w:rFonts w:asciiTheme="minorBidi" w:hAnsiTheme="minorBidi"/>
          <w:sz w:val="24"/>
          <w:szCs w:val="24"/>
        </w:rPr>
        <w:t xml:space="preserve"> </w:t>
      </w:r>
      <w:r w:rsidRPr="00151E7A">
        <w:rPr>
          <w:rFonts w:asciiTheme="minorBidi" w:hAnsiTheme="minorBidi"/>
          <w:sz w:val="24"/>
          <w:szCs w:val="24"/>
        </w:rPr>
        <w:t>muscle in the mammary glands.</w:t>
      </w:r>
    </w:p>
    <w:p w:rsid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  <w:highlight w:val="lightGray"/>
        </w:rPr>
      </w:pPr>
    </w:p>
    <w:p w:rsidR="00FF42F9" w:rsidRPr="007207D6" w:rsidRDefault="00FF42F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4378A3">
        <w:rPr>
          <w:rFonts w:asciiTheme="minorBidi" w:hAnsiTheme="minorBidi"/>
          <w:b/>
          <w:bCs/>
          <w:sz w:val="24"/>
          <w:szCs w:val="24"/>
          <w:highlight w:val="lightGray"/>
        </w:rPr>
        <w:t>Anterior pituitary hormones</w:t>
      </w:r>
    </w:p>
    <w:p w:rsidR="00B33992" w:rsidRDefault="00FF42F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207D6">
        <w:rPr>
          <w:rFonts w:asciiTheme="minorBidi" w:hAnsiTheme="minorBidi"/>
          <w:sz w:val="24"/>
          <w:szCs w:val="24"/>
        </w:rPr>
        <w:t>There are six types of cells in the anterior pituitary, named after</w:t>
      </w:r>
      <w:r>
        <w:rPr>
          <w:rFonts w:asciiTheme="minorBidi" w:hAnsiTheme="minorBidi"/>
          <w:sz w:val="24"/>
          <w:szCs w:val="24"/>
        </w:rPr>
        <w:t xml:space="preserve"> </w:t>
      </w:r>
      <w:r w:rsidRPr="007207D6">
        <w:rPr>
          <w:rFonts w:asciiTheme="minorBidi" w:hAnsiTheme="minorBidi"/>
          <w:sz w:val="24"/>
          <w:szCs w:val="24"/>
        </w:rPr>
        <w:t xml:space="preserve">the primary peptide/protein hormones they produce: </w:t>
      </w:r>
    </w:p>
    <w:p w:rsidR="00B33992" w:rsidRDefault="00B33992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1- </w:t>
      </w:r>
      <w:r w:rsidR="00FF42F9" w:rsidRPr="007207D6">
        <w:rPr>
          <w:rFonts w:asciiTheme="minorBidi" w:hAnsiTheme="minorBidi"/>
          <w:b/>
          <w:bCs/>
          <w:sz w:val="24"/>
          <w:szCs w:val="24"/>
        </w:rPr>
        <w:t>ACTH</w:t>
      </w:r>
      <w:r w:rsidR="00FF42F9">
        <w:rPr>
          <w:rFonts w:asciiTheme="minorBidi" w:hAnsiTheme="minorBidi"/>
          <w:sz w:val="24"/>
          <w:szCs w:val="24"/>
        </w:rPr>
        <w:t xml:space="preserve"> </w:t>
      </w:r>
      <w:r w:rsidR="00FF42F9" w:rsidRPr="007207D6">
        <w:rPr>
          <w:rFonts w:asciiTheme="minorBidi" w:hAnsiTheme="minorBidi"/>
          <w:sz w:val="24"/>
          <w:szCs w:val="24"/>
        </w:rPr>
        <w:t xml:space="preserve">(adrenocorticotropin), </w:t>
      </w:r>
      <w:r>
        <w:rPr>
          <w:rFonts w:asciiTheme="minorBidi" w:hAnsiTheme="minorBidi"/>
          <w:b/>
          <w:bCs/>
          <w:sz w:val="24"/>
          <w:szCs w:val="24"/>
        </w:rPr>
        <w:t xml:space="preserve">                              2- </w:t>
      </w:r>
      <w:r w:rsidR="00FF42F9" w:rsidRPr="007207D6">
        <w:rPr>
          <w:rFonts w:asciiTheme="minorBidi" w:hAnsiTheme="minorBidi"/>
          <w:b/>
          <w:bCs/>
          <w:sz w:val="24"/>
          <w:szCs w:val="24"/>
        </w:rPr>
        <w:t xml:space="preserve">TSH </w:t>
      </w:r>
      <w:r w:rsidR="00FF42F9" w:rsidRPr="007207D6">
        <w:rPr>
          <w:rFonts w:asciiTheme="minorBidi" w:hAnsiTheme="minorBidi"/>
          <w:sz w:val="24"/>
          <w:szCs w:val="24"/>
        </w:rPr>
        <w:t>(thyroid stimulating hormone; thyrotropin),</w:t>
      </w:r>
      <w:r w:rsidR="00FF42F9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 xml:space="preserve">3,4- </w:t>
      </w:r>
      <w:r w:rsidR="00FF42F9" w:rsidRPr="007207D6">
        <w:rPr>
          <w:rFonts w:asciiTheme="minorBidi" w:hAnsiTheme="minorBidi"/>
          <w:b/>
          <w:bCs/>
          <w:sz w:val="24"/>
          <w:szCs w:val="24"/>
        </w:rPr>
        <w:t xml:space="preserve">FSH </w:t>
      </w:r>
      <w:r w:rsidR="00FF42F9" w:rsidRPr="007207D6">
        <w:rPr>
          <w:rFonts w:asciiTheme="minorBidi" w:hAnsiTheme="minorBidi"/>
          <w:sz w:val="24"/>
          <w:szCs w:val="24"/>
        </w:rPr>
        <w:t xml:space="preserve">and </w:t>
      </w:r>
      <w:r w:rsidR="00FF42F9" w:rsidRPr="007207D6">
        <w:rPr>
          <w:rFonts w:asciiTheme="minorBidi" w:hAnsiTheme="minorBidi"/>
          <w:b/>
          <w:bCs/>
          <w:sz w:val="24"/>
          <w:szCs w:val="24"/>
        </w:rPr>
        <w:t xml:space="preserve">LH </w:t>
      </w:r>
      <w:r w:rsidR="00FF42F9" w:rsidRPr="007207D6">
        <w:rPr>
          <w:rFonts w:asciiTheme="minorBidi" w:hAnsiTheme="minorBidi"/>
          <w:sz w:val="24"/>
          <w:szCs w:val="24"/>
        </w:rPr>
        <w:t>(follicle stimulating and luteinizing hormone or</w:t>
      </w:r>
      <w:r w:rsidR="00FF42F9">
        <w:rPr>
          <w:rFonts w:asciiTheme="minorBidi" w:hAnsiTheme="minorBidi"/>
          <w:sz w:val="24"/>
          <w:szCs w:val="24"/>
        </w:rPr>
        <w:t xml:space="preserve"> </w:t>
      </w:r>
      <w:r w:rsidR="00FF42F9" w:rsidRPr="007207D6">
        <w:rPr>
          <w:rFonts w:asciiTheme="minorBidi" w:hAnsiTheme="minorBidi"/>
          <w:sz w:val="24"/>
          <w:szCs w:val="24"/>
        </w:rPr>
        <w:t xml:space="preserve">gonadotropins), </w:t>
      </w:r>
    </w:p>
    <w:p w:rsidR="00B33992" w:rsidRDefault="00B33992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5- </w:t>
      </w:r>
      <w:r w:rsidR="00FF42F9" w:rsidRPr="007207D6">
        <w:rPr>
          <w:rFonts w:asciiTheme="minorBidi" w:hAnsiTheme="minorBidi"/>
          <w:b/>
          <w:bCs/>
          <w:sz w:val="24"/>
          <w:szCs w:val="24"/>
        </w:rPr>
        <w:t xml:space="preserve">GH </w:t>
      </w:r>
      <w:r w:rsidR="00FF42F9" w:rsidRPr="007207D6">
        <w:rPr>
          <w:rFonts w:asciiTheme="minorBidi" w:hAnsiTheme="minorBidi"/>
          <w:sz w:val="24"/>
          <w:szCs w:val="24"/>
        </w:rPr>
        <w:t xml:space="preserve">(growth </w:t>
      </w:r>
      <w:r>
        <w:rPr>
          <w:rFonts w:asciiTheme="minorBidi" w:hAnsiTheme="minorBidi"/>
          <w:sz w:val="24"/>
          <w:szCs w:val="24"/>
        </w:rPr>
        <w:t xml:space="preserve"> hormone or somatotropin)            </w:t>
      </w:r>
      <w:r w:rsidRPr="00B33992">
        <w:rPr>
          <w:rFonts w:asciiTheme="minorBidi" w:hAnsiTheme="minorBidi"/>
          <w:b/>
          <w:bCs/>
          <w:sz w:val="24"/>
          <w:szCs w:val="24"/>
        </w:rPr>
        <w:t>6-</w:t>
      </w:r>
      <w:r w:rsidR="00FF42F9" w:rsidRPr="007207D6">
        <w:rPr>
          <w:rFonts w:asciiTheme="minorBidi" w:hAnsiTheme="minorBidi"/>
          <w:b/>
          <w:bCs/>
          <w:sz w:val="24"/>
          <w:szCs w:val="24"/>
        </w:rPr>
        <w:t>prolactin</w:t>
      </w:r>
      <w:r w:rsidR="00FF42F9">
        <w:rPr>
          <w:rFonts w:asciiTheme="minorBidi" w:hAnsiTheme="minorBidi"/>
          <w:sz w:val="24"/>
          <w:szCs w:val="24"/>
        </w:rPr>
        <w:t xml:space="preserve"> </w:t>
      </w:r>
      <w:r w:rsidR="00FF42F9" w:rsidRPr="007207D6">
        <w:rPr>
          <w:rFonts w:asciiTheme="minorBidi" w:hAnsiTheme="minorBidi"/>
          <w:sz w:val="24"/>
          <w:szCs w:val="24"/>
        </w:rPr>
        <w:t xml:space="preserve">(lactotropin). </w:t>
      </w:r>
    </w:p>
    <w:p w:rsidR="00FF42F9" w:rsidRDefault="00FF42F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207D6">
        <w:rPr>
          <w:rFonts w:asciiTheme="minorBidi" w:hAnsiTheme="minorBidi"/>
          <w:sz w:val="24"/>
          <w:szCs w:val="24"/>
        </w:rPr>
        <w:t>Upon stimulation of the anterior pituitary by hypothalamic</w:t>
      </w:r>
      <w:r>
        <w:rPr>
          <w:rFonts w:asciiTheme="minorBidi" w:hAnsiTheme="minorBidi"/>
          <w:sz w:val="24"/>
          <w:szCs w:val="24"/>
        </w:rPr>
        <w:t xml:space="preserve"> </w:t>
      </w:r>
      <w:r w:rsidRPr="007207D6">
        <w:rPr>
          <w:rFonts w:asciiTheme="minorBidi" w:hAnsiTheme="minorBidi"/>
          <w:sz w:val="24"/>
          <w:szCs w:val="24"/>
        </w:rPr>
        <w:t>hormones, these hormones are released and diffuse into the second portal</w:t>
      </w:r>
      <w:r>
        <w:rPr>
          <w:rFonts w:asciiTheme="minorBidi" w:hAnsiTheme="minorBidi"/>
          <w:sz w:val="24"/>
          <w:szCs w:val="24"/>
        </w:rPr>
        <w:t xml:space="preserve"> </w:t>
      </w:r>
      <w:r w:rsidRPr="007207D6">
        <w:rPr>
          <w:rFonts w:asciiTheme="minorBidi" w:hAnsiTheme="minorBidi"/>
          <w:sz w:val="24"/>
          <w:szCs w:val="24"/>
        </w:rPr>
        <w:t xml:space="preserve">capillary bed. </w:t>
      </w:r>
    </w:p>
    <w:p w:rsidR="008A6809" w:rsidRDefault="008A680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8A6809" w:rsidRPr="00E22A4A" w:rsidRDefault="008A6809" w:rsidP="00E2777F">
      <w:pPr>
        <w:shd w:val="clear" w:color="auto" w:fill="D9D9D9" w:themeFill="background1" w:themeFillShade="D9"/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B01390">
        <w:rPr>
          <w:rFonts w:asciiTheme="minorBidi" w:hAnsiTheme="minorBidi"/>
          <w:b/>
          <w:bCs/>
          <w:sz w:val="24"/>
          <w:szCs w:val="24"/>
        </w:rPr>
        <w:t>Presenting problems in endocrine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B01390">
        <w:rPr>
          <w:rFonts w:asciiTheme="minorBidi" w:hAnsiTheme="minorBidi"/>
          <w:b/>
          <w:bCs/>
          <w:sz w:val="24"/>
          <w:szCs w:val="24"/>
        </w:rPr>
        <w:t>disease</w:t>
      </w:r>
    </w:p>
    <w:p w:rsidR="008A6809" w:rsidRDefault="008A680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E22A4A">
        <w:rPr>
          <w:rFonts w:asciiTheme="minorBidi" w:hAnsiTheme="minorBidi"/>
          <w:sz w:val="24"/>
          <w:szCs w:val="24"/>
        </w:rPr>
        <w:t>Endocrine diseases present in many different ways and</w:t>
      </w:r>
      <w:r>
        <w:rPr>
          <w:rFonts w:asciiTheme="minorBidi" w:hAnsiTheme="minorBidi"/>
          <w:sz w:val="24"/>
          <w:szCs w:val="24"/>
        </w:rPr>
        <w:t xml:space="preserve"> </w:t>
      </w:r>
      <w:r w:rsidRPr="00E22A4A">
        <w:rPr>
          <w:rFonts w:asciiTheme="minorBidi" w:hAnsiTheme="minorBidi"/>
          <w:sz w:val="24"/>
          <w:szCs w:val="24"/>
        </w:rPr>
        <w:t xml:space="preserve">to clinicians in many different disciplines. </w:t>
      </w:r>
    </w:p>
    <w:p w:rsidR="008A6809" w:rsidRDefault="008A680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Although endocrinal disorders can present as classical syndrome, the presentation is sometimes with non-specific symptoms or with asymptomatic biochemical abnormalities.</w:t>
      </w:r>
    </w:p>
    <w:p w:rsidR="008E48CE" w:rsidRDefault="008E48CE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8E48CE" w:rsidRDefault="008E48CE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8E48CE" w:rsidRDefault="008E48CE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8E48CE" w:rsidRDefault="008E48CE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8E48CE" w:rsidRDefault="008E48CE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8A6809" w:rsidRDefault="008A680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Examples of non-specific symptoms that might indicate an endocrinal disorder include:</w:t>
      </w:r>
    </w:p>
    <w:p w:rsidR="008A6809" w:rsidRDefault="008A680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5"/>
        <w:gridCol w:w="6761"/>
      </w:tblGrid>
      <w:tr w:rsidR="008A6809" w:rsidTr="00604CDD"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A6809" w:rsidRPr="002B5801" w:rsidRDefault="008A6809" w:rsidP="00E2777F">
            <w:pPr>
              <w:spacing w:line="276" w:lineRule="auto"/>
              <w:jc w:val="lef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B5801">
              <w:rPr>
                <w:rFonts w:asciiTheme="minorBidi" w:hAnsiTheme="minorBidi"/>
                <w:b/>
                <w:bCs/>
                <w:sz w:val="24"/>
                <w:szCs w:val="24"/>
              </w:rPr>
              <w:t>Symptom</w:t>
            </w:r>
          </w:p>
        </w:tc>
        <w:tc>
          <w:tcPr>
            <w:tcW w:w="6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A6809" w:rsidRPr="002B5801" w:rsidRDefault="008A6809" w:rsidP="00E2777F">
            <w:pPr>
              <w:spacing w:line="276" w:lineRule="auto"/>
              <w:jc w:val="lef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B5801">
              <w:rPr>
                <w:rFonts w:asciiTheme="minorBidi" w:hAnsiTheme="minorBidi"/>
                <w:b/>
                <w:bCs/>
                <w:sz w:val="24"/>
                <w:szCs w:val="24"/>
              </w:rPr>
              <w:t>Most likely endocrine disorder(s)</w:t>
            </w:r>
          </w:p>
        </w:tc>
      </w:tr>
      <w:tr w:rsidR="008A6809" w:rsidTr="00604CDD">
        <w:tc>
          <w:tcPr>
            <w:tcW w:w="3675" w:type="dxa"/>
            <w:tcBorders>
              <w:top w:val="double" w:sz="4" w:space="0" w:color="auto"/>
            </w:tcBorders>
          </w:tcPr>
          <w:p w:rsidR="008A6809" w:rsidRPr="002B5801" w:rsidRDefault="008A6809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2B5801">
              <w:rPr>
                <w:rFonts w:asciiTheme="minorBidi" w:hAnsiTheme="minorBidi"/>
                <w:sz w:val="24"/>
                <w:szCs w:val="24"/>
              </w:rPr>
              <w:t>Lethargy and depression</w:t>
            </w:r>
          </w:p>
        </w:tc>
        <w:tc>
          <w:tcPr>
            <w:tcW w:w="6761" w:type="dxa"/>
            <w:tcBorders>
              <w:top w:val="double" w:sz="4" w:space="0" w:color="auto"/>
            </w:tcBorders>
          </w:tcPr>
          <w:p w:rsidR="008A6809" w:rsidRDefault="008A6809" w:rsidP="00E2777F">
            <w:pPr>
              <w:tabs>
                <w:tab w:val="left" w:pos="6195"/>
              </w:tabs>
              <w:spacing w:line="276" w:lineRule="auto"/>
              <w:jc w:val="left"/>
              <w:rPr>
                <w:rFonts w:asciiTheme="minorBidi" w:hAnsiTheme="minorBidi"/>
                <w:sz w:val="24"/>
                <w:szCs w:val="24"/>
              </w:rPr>
            </w:pPr>
            <w:r w:rsidRPr="002B5801">
              <w:rPr>
                <w:rFonts w:asciiTheme="minorBidi" w:hAnsiTheme="minorBidi"/>
                <w:sz w:val="24"/>
                <w:szCs w:val="24"/>
              </w:rPr>
              <w:t>Hypothyroidism, diabetes mellitus,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hyperparathyroidism, </w:t>
            </w:r>
            <w:r w:rsidRPr="002B5801">
              <w:rPr>
                <w:rFonts w:asciiTheme="minorBidi" w:hAnsiTheme="minorBidi"/>
                <w:sz w:val="24"/>
                <w:szCs w:val="24"/>
              </w:rPr>
              <w:t>hypogonadism,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B5801">
              <w:rPr>
                <w:rFonts w:asciiTheme="minorBidi" w:hAnsiTheme="minorBidi"/>
                <w:sz w:val="24"/>
                <w:szCs w:val="24"/>
              </w:rPr>
              <w:t>adrenal insufficiency, Cushing</w:t>
            </w:r>
            <w:r w:rsidRPr="002B5801">
              <w:rPr>
                <w:rFonts w:asciiTheme="minorBidi" w:hAnsiTheme="minorBidi" w:hint="cs"/>
                <w:sz w:val="24"/>
                <w:szCs w:val="24"/>
              </w:rPr>
              <w:t>’</w:t>
            </w:r>
            <w:r w:rsidRPr="002B5801">
              <w:rPr>
                <w:rFonts w:asciiTheme="minorBidi" w:hAnsiTheme="minorBidi"/>
                <w:sz w:val="24"/>
                <w:szCs w:val="24"/>
              </w:rPr>
              <w:t>s syndrome</w:t>
            </w:r>
          </w:p>
        </w:tc>
      </w:tr>
      <w:tr w:rsidR="008A6809" w:rsidTr="00604CDD">
        <w:tc>
          <w:tcPr>
            <w:tcW w:w="3675" w:type="dxa"/>
          </w:tcPr>
          <w:p w:rsidR="008A6809" w:rsidRDefault="008A6809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8F47F0">
              <w:rPr>
                <w:rFonts w:asciiTheme="minorBidi" w:hAnsiTheme="minorBidi"/>
                <w:sz w:val="24"/>
                <w:szCs w:val="24"/>
              </w:rPr>
              <w:t>Weight gain</w:t>
            </w:r>
          </w:p>
        </w:tc>
        <w:tc>
          <w:tcPr>
            <w:tcW w:w="6761" w:type="dxa"/>
          </w:tcPr>
          <w:p w:rsidR="008A6809" w:rsidRDefault="008A6809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8F47F0">
              <w:rPr>
                <w:rFonts w:asciiTheme="minorBidi" w:hAnsiTheme="minorBidi"/>
                <w:sz w:val="24"/>
                <w:szCs w:val="24"/>
              </w:rPr>
              <w:t>Hypothyroidism, Cushing</w:t>
            </w:r>
            <w:r w:rsidRPr="008F47F0">
              <w:rPr>
                <w:rFonts w:asciiTheme="minorBidi" w:hAnsiTheme="minorBidi" w:hint="cs"/>
                <w:sz w:val="24"/>
                <w:szCs w:val="24"/>
              </w:rPr>
              <w:t>’</w:t>
            </w:r>
            <w:r w:rsidRPr="008F47F0">
              <w:rPr>
                <w:rFonts w:asciiTheme="minorBidi" w:hAnsiTheme="minorBidi"/>
                <w:sz w:val="24"/>
                <w:szCs w:val="24"/>
              </w:rPr>
              <w:t>s syndrome</w:t>
            </w:r>
          </w:p>
        </w:tc>
      </w:tr>
      <w:tr w:rsidR="008A6809" w:rsidTr="00604CDD">
        <w:tc>
          <w:tcPr>
            <w:tcW w:w="3675" w:type="dxa"/>
          </w:tcPr>
          <w:p w:rsidR="008A6809" w:rsidRDefault="008A6809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8F47F0">
              <w:rPr>
                <w:rFonts w:asciiTheme="minorBidi" w:hAnsiTheme="minorBidi"/>
                <w:sz w:val="24"/>
                <w:szCs w:val="24"/>
              </w:rPr>
              <w:t>Weight loss</w:t>
            </w:r>
          </w:p>
        </w:tc>
        <w:tc>
          <w:tcPr>
            <w:tcW w:w="6761" w:type="dxa"/>
          </w:tcPr>
          <w:p w:rsidR="008A6809" w:rsidRDefault="008A6809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8F47F0">
              <w:rPr>
                <w:rFonts w:asciiTheme="minorBidi" w:hAnsiTheme="minorBidi"/>
                <w:sz w:val="24"/>
                <w:szCs w:val="24"/>
              </w:rPr>
              <w:t>Thyrotoxicosis, adrenal insufficiency,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F47F0">
              <w:rPr>
                <w:rFonts w:asciiTheme="minorBidi" w:hAnsiTheme="minorBidi"/>
                <w:sz w:val="24"/>
                <w:szCs w:val="24"/>
              </w:rPr>
              <w:t>diabetes mellitus</w:t>
            </w:r>
          </w:p>
        </w:tc>
      </w:tr>
      <w:tr w:rsidR="008A6809" w:rsidTr="00604CDD">
        <w:tc>
          <w:tcPr>
            <w:tcW w:w="3675" w:type="dxa"/>
          </w:tcPr>
          <w:p w:rsidR="008A6809" w:rsidRDefault="008A6809" w:rsidP="00E2777F">
            <w:pPr>
              <w:tabs>
                <w:tab w:val="left" w:pos="6195"/>
              </w:tabs>
              <w:spacing w:line="276" w:lineRule="auto"/>
              <w:jc w:val="left"/>
              <w:rPr>
                <w:rFonts w:asciiTheme="minorBidi" w:hAnsiTheme="minorBidi"/>
                <w:sz w:val="24"/>
                <w:szCs w:val="24"/>
              </w:rPr>
            </w:pPr>
            <w:r w:rsidRPr="008F47F0">
              <w:rPr>
                <w:rFonts w:asciiTheme="minorBidi" w:hAnsiTheme="minorBidi"/>
                <w:sz w:val="24"/>
                <w:szCs w:val="24"/>
              </w:rPr>
              <w:t>Polyuria and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F47F0">
              <w:rPr>
                <w:rFonts w:asciiTheme="minorBidi" w:hAnsiTheme="minorBidi"/>
                <w:sz w:val="24"/>
                <w:szCs w:val="24"/>
              </w:rPr>
              <w:t>polydipsia</w:t>
            </w:r>
          </w:p>
        </w:tc>
        <w:tc>
          <w:tcPr>
            <w:tcW w:w="6761" w:type="dxa"/>
          </w:tcPr>
          <w:p w:rsidR="008A6809" w:rsidRDefault="008A6809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8F47F0">
              <w:rPr>
                <w:rFonts w:asciiTheme="minorBidi" w:hAnsiTheme="minorBidi"/>
                <w:sz w:val="24"/>
                <w:szCs w:val="24"/>
              </w:rPr>
              <w:t>Diabetes mellitus, diabetes insipidus,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F47F0">
              <w:rPr>
                <w:rFonts w:asciiTheme="minorBidi" w:hAnsiTheme="minorBidi"/>
                <w:sz w:val="24"/>
                <w:szCs w:val="24"/>
              </w:rPr>
              <w:t>hyperparathyroidism, hypokalaemia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F47F0">
              <w:rPr>
                <w:rFonts w:asciiTheme="minorBidi" w:hAnsiTheme="minorBidi"/>
                <w:sz w:val="24"/>
                <w:szCs w:val="24"/>
              </w:rPr>
              <w:t>(Conn</w:t>
            </w:r>
            <w:r w:rsidRPr="008F47F0">
              <w:rPr>
                <w:rFonts w:asciiTheme="minorBidi" w:hAnsiTheme="minorBidi" w:hint="cs"/>
                <w:sz w:val="24"/>
                <w:szCs w:val="24"/>
              </w:rPr>
              <w:t>’</w:t>
            </w:r>
            <w:r w:rsidRPr="008F47F0">
              <w:rPr>
                <w:rFonts w:asciiTheme="minorBidi" w:hAnsiTheme="minorBidi"/>
                <w:sz w:val="24"/>
                <w:szCs w:val="24"/>
              </w:rPr>
              <w:t>s syndrome)</w:t>
            </w:r>
          </w:p>
        </w:tc>
      </w:tr>
      <w:tr w:rsidR="008A6809" w:rsidTr="00604CDD">
        <w:tc>
          <w:tcPr>
            <w:tcW w:w="3675" w:type="dxa"/>
          </w:tcPr>
          <w:p w:rsidR="008A6809" w:rsidRDefault="008A6809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A07D1">
              <w:rPr>
                <w:rFonts w:asciiTheme="minorBidi" w:hAnsiTheme="minorBidi"/>
                <w:sz w:val="24"/>
                <w:szCs w:val="24"/>
              </w:rPr>
              <w:t>Heat intolerance</w:t>
            </w:r>
          </w:p>
        </w:tc>
        <w:tc>
          <w:tcPr>
            <w:tcW w:w="6761" w:type="dxa"/>
          </w:tcPr>
          <w:p w:rsidR="008A6809" w:rsidRDefault="008A6809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A07D1">
              <w:rPr>
                <w:rFonts w:asciiTheme="minorBidi" w:hAnsiTheme="minorBidi"/>
                <w:sz w:val="24"/>
                <w:szCs w:val="24"/>
              </w:rPr>
              <w:t>Thyrotoxicosis, menopause</w:t>
            </w:r>
          </w:p>
        </w:tc>
      </w:tr>
    </w:tbl>
    <w:p w:rsidR="008A6809" w:rsidRDefault="008A680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81255A" w:rsidRPr="0081255A" w:rsidRDefault="0081255A" w:rsidP="00E2777F">
      <w:pPr>
        <w:shd w:val="clear" w:color="auto" w:fill="BFBFBF" w:themeFill="background1" w:themeFillShade="BF"/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1255A">
        <w:rPr>
          <w:rFonts w:asciiTheme="minorBidi" w:hAnsiTheme="minorBidi"/>
          <w:b/>
          <w:bCs/>
          <w:sz w:val="24"/>
          <w:szCs w:val="24"/>
        </w:rPr>
        <w:t>Thyroid Disorders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B102B9">
        <w:rPr>
          <w:rFonts w:asciiTheme="minorBidi" w:hAnsiTheme="minorBidi"/>
          <w:b/>
          <w:bCs/>
          <w:sz w:val="24"/>
          <w:szCs w:val="24"/>
          <w:highlight w:val="lightGray"/>
        </w:rPr>
        <w:t>I- Hyperthyroidism (Thyrotoxicosis)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Thyrotoxicosis describes a group of clinical features arising from elevated circulating levels of thyroid</w:t>
      </w:r>
    </w:p>
    <w:p w:rsidR="0081255A" w:rsidRPr="0081255A" w:rsidRDefault="009C6660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h</w:t>
      </w:r>
      <w:r w:rsidR="0081255A" w:rsidRPr="0081255A">
        <w:rPr>
          <w:rFonts w:asciiTheme="minorBidi" w:hAnsiTheme="minorBidi"/>
          <w:sz w:val="24"/>
          <w:szCs w:val="24"/>
        </w:rPr>
        <w:t>ormone (hyper-metabolic state).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b/>
          <w:bCs/>
          <w:sz w:val="24"/>
          <w:szCs w:val="24"/>
        </w:rPr>
        <w:t>Causes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1- Grave’s disease (autoimmune disease)              2- toxic multinodular goiter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3- toxic adenoma                                                     4- excess drug intake (thyroxin).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b/>
          <w:bCs/>
          <w:sz w:val="24"/>
          <w:szCs w:val="24"/>
        </w:rPr>
        <w:t>Clinical features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 xml:space="preserve">1- heat intolerance, sweating, warm skin     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 xml:space="preserve">2- tachycardia, palpitation, atrial ﬁbrillation                                   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3- increased appetite with weight loss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4- ﬁne tremor, nervousness, anxiety, insomnia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5- weakness, muscle cramps, fatigue, diarrhea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6- eyelid retraction, exophthalmos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7- enlarged thyroid gland (goiter)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8- pretibial myxedema (non-inﬂamed indurated plaque).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1255A">
        <w:rPr>
          <w:rFonts w:asciiTheme="minorBidi" w:hAnsiTheme="minorBidi"/>
          <w:b/>
          <w:bCs/>
          <w:sz w:val="24"/>
          <w:szCs w:val="24"/>
        </w:rPr>
        <w:t>Investigation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High freT4 and freeT3</w:t>
      </w:r>
    </w:p>
    <w:p w:rsid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Low TSH (except if the cause of hyperthyroidism is TSH secreting tumor)</w:t>
      </w:r>
    </w:p>
    <w:p w:rsidR="00F47CCD" w:rsidRPr="0081255A" w:rsidRDefault="00F47CCD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Anti TSH receptor antibodies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Thyroid ultrasound to assess thyroid nodules.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Radioactive iodine uptake scan shows homogenous high uptake in Grave’s disease</w:t>
      </w:r>
      <w:r w:rsidR="00825B23">
        <w:rPr>
          <w:rFonts w:asciiTheme="minorBidi" w:hAnsiTheme="minorBidi"/>
          <w:sz w:val="24"/>
          <w:szCs w:val="24"/>
        </w:rPr>
        <w:t>.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1255A">
        <w:rPr>
          <w:rFonts w:asciiTheme="minorBidi" w:hAnsiTheme="minorBidi"/>
          <w:b/>
          <w:bCs/>
          <w:sz w:val="24"/>
          <w:szCs w:val="24"/>
        </w:rPr>
        <w:t>Treatment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 xml:space="preserve">1- Symptomatic:Beta-blocker (propranolol) controls tachycardia and decreases T4 to T3 conversion. 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2- Blocking T3 and T4: Propylthiouracil (PTU) or Carbimazole to block T3/T4 synthesis.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3- Radioactive iodine ablation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4- Surgical subtotal thyroidectomy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1255A">
        <w:rPr>
          <w:rFonts w:asciiTheme="minorBidi" w:hAnsiTheme="minorBidi"/>
          <w:b/>
          <w:bCs/>
          <w:sz w:val="24"/>
          <w:szCs w:val="24"/>
        </w:rPr>
        <w:t>Dental aspect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Well controlled thyrotoxicosis is not a problem in dentistry.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 xml:space="preserve">Exacerbating sympathetic over-activity by </w:t>
      </w:r>
      <w:r w:rsidR="00B102B9">
        <w:rPr>
          <w:rFonts w:asciiTheme="minorBidi" w:hAnsiTheme="minorBidi"/>
          <w:sz w:val="24"/>
          <w:szCs w:val="24"/>
        </w:rPr>
        <w:t>adrenaline in LA is not a significant problem.</w:t>
      </w:r>
    </w:p>
    <w:p w:rsidR="0081255A" w:rsidRPr="0081255A" w:rsidRDefault="00092208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Oropharyngeal</w:t>
      </w:r>
      <w:r w:rsidR="0081255A" w:rsidRPr="0081255A">
        <w:rPr>
          <w:rFonts w:asciiTheme="minorBidi" w:hAnsiTheme="minorBidi"/>
          <w:sz w:val="24"/>
          <w:szCs w:val="24"/>
        </w:rPr>
        <w:t xml:space="preserve"> ulceration from agranulocytosis due to carbimazole is a possibility.</w:t>
      </w:r>
    </w:p>
    <w:p w:rsidR="00B102B9" w:rsidRDefault="00B102B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8E48CE" w:rsidRDefault="008E48CE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8E48CE" w:rsidRDefault="008E48CE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B102B9" w:rsidRDefault="00B102B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81255A" w:rsidRPr="00B102B9" w:rsidRDefault="00B102B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highlight w:val="lightGray"/>
        </w:rPr>
        <w:t xml:space="preserve">II- </w:t>
      </w:r>
      <w:r w:rsidR="0081255A" w:rsidRPr="00B102B9">
        <w:rPr>
          <w:rFonts w:asciiTheme="minorBidi" w:hAnsiTheme="minorBidi"/>
          <w:b/>
          <w:bCs/>
          <w:sz w:val="24"/>
          <w:szCs w:val="24"/>
          <w:highlight w:val="lightGray"/>
        </w:rPr>
        <w:t>Hypothyroidism</w:t>
      </w:r>
    </w:p>
    <w:p w:rsidR="0081255A" w:rsidRPr="0081255A" w:rsidRDefault="00B14BB8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 condition with r</w:t>
      </w:r>
      <w:r w:rsidR="0081255A" w:rsidRPr="0081255A">
        <w:rPr>
          <w:rFonts w:asciiTheme="minorBidi" w:hAnsiTheme="minorBidi"/>
          <w:sz w:val="24"/>
          <w:szCs w:val="24"/>
        </w:rPr>
        <w:t>educed metabo</w:t>
      </w:r>
      <w:r>
        <w:rPr>
          <w:rFonts w:asciiTheme="minorBidi" w:hAnsiTheme="minorBidi"/>
          <w:sz w:val="24"/>
          <w:szCs w:val="24"/>
        </w:rPr>
        <w:t>lic</w:t>
      </w:r>
      <w:r w:rsidR="0081255A" w:rsidRPr="0081255A">
        <w:rPr>
          <w:rFonts w:asciiTheme="minorBidi" w:hAnsiTheme="minorBidi"/>
          <w:sz w:val="24"/>
          <w:szCs w:val="24"/>
        </w:rPr>
        <w:t xml:space="preserve"> state resulted from deﬁciency of thyroid hormones.</w:t>
      </w:r>
    </w:p>
    <w:p w:rsidR="00B14BB8" w:rsidRPr="00B14BB8" w:rsidRDefault="00B14BB8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B14BB8">
        <w:rPr>
          <w:rFonts w:asciiTheme="minorBidi" w:hAnsiTheme="minorBidi"/>
          <w:b/>
          <w:bCs/>
          <w:sz w:val="24"/>
          <w:szCs w:val="24"/>
        </w:rPr>
        <w:t>Causes</w:t>
      </w:r>
    </w:p>
    <w:p w:rsidR="0081255A" w:rsidRPr="0081255A" w:rsidRDefault="00B14BB8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1- </w:t>
      </w:r>
      <w:r w:rsidR="0081255A" w:rsidRPr="0081255A">
        <w:rPr>
          <w:rFonts w:asciiTheme="minorBidi" w:hAnsiTheme="minorBidi"/>
          <w:sz w:val="24"/>
          <w:szCs w:val="24"/>
        </w:rPr>
        <w:t>Hashimoto’s th</w:t>
      </w:r>
      <w:r>
        <w:rPr>
          <w:rFonts w:asciiTheme="minorBidi" w:hAnsiTheme="minorBidi"/>
          <w:sz w:val="24"/>
          <w:szCs w:val="24"/>
        </w:rPr>
        <w:t xml:space="preserve">yroiditis (autoimmune disease)                  2- iodine deﬁciency        </w:t>
      </w:r>
      <w:r w:rsidR="00E25E79">
        <w:rPr>
          <w:rFonts w:asciiTheme="minorBidi" w:hAnsiTheme="minorBidi"/>
          <w:sz w:val="24"/>
          <w:szCs w:val="24"/>
        </w:rPr>
        <w:t>3- thyroidectomy</w:t>
      </w:r>
    </w:p>
    <w:p w:rsidR="0081255A" w:rsidRPr="0081255A" w:rsidRDefault="00E25E7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4- hypopituitarism                                                                5- </w:t>
      </w:r>
      <w:r w:rsidR="0081255A" w:rsidRPr="0081255A">
        <w:rPr>
          <w:rFonts w:asciiTheme="minorBidi" w:hAnsiTheme="minorBidi"/>
          <w:sz w:val="24"/>
          <w:szCs w:val="24"/>
        </w:rPr>
        <w:t>drugs (amiodarone).</w:t>
      </w:r>
    </w:p>
    <w:p w:rsidR="00620BC5" w:rsidRPr="00620BC5" w:rsidRDefault="00620BC5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620BC5">
        <w:rPr>
          <w:rFonts w:asciiTheme="minorBidi" w:hAnsiTheme="minorBidi"/>
          <w:b/>
          <w:bCs/>
          <w:sz w:val="24"/>
          <w:szCs w:val="24"/>
        </w:rPr>
        <w:t>Clinical features</w:t>
      </w:r>
    </w:p>
    <w:p w:rsidR="00620BC5" w:rsidRDefault="00620BC5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1- cold intolerance</w:t>
      </w:r>
      <w:r w:rsidR="0081255A" w:rsidRPr="0081255A">
        <w:rPr>
          <w:rFonts w:asciiTheme="minorBidi" w:hAnsiTheme="minorBidi"/>
          <w:sz w:val="24"/>
          <w:szCs w:val="24"/>
        </w:rPr>
        <w:t>, hair loss, thin eyeb</w:t>
      </w:r>
      <w:r>
        <w:rPr>
          <w:rFonts w:asciiTheme="minorBidi" w:hAnsiTheme="minorBidi"/>
          <w:sz w:val="24"/>
          <w:szCs w:val="24"/>
        </w:rPr>
        <w:t>row</w:t>
      </w:r>
    </w:p>
    <w:p w:rsidR="00A625C9" w:rsidRDefault="00620BC5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2- </w:t>
      </w:r>
      <w:r w:rsidR="0081255A" w:rsidRPr="0081255A">
        <w:rPr>
          <w:rFonts w:asciiTheme="minorBidi" w:hAnsiTheme="minorBidi"/>
          <w:sz w:val="24"/>
          <w:szCs w:val="24"/>
        </w:rPr>
        <w:t>bradycardia,</w:t>
      </w:r>
      <w:r>
        <w:rPr>
          <w:rFonts w:asciiTheme="minorBidi" w:hAnsiTheme="minorBidi"/>
          <w:sz w:val="24"/>
          <w:szCs w:val="24"/>
        </w:rPr>
        <w:t xml:space="preserve"> </w:t>
      </w:r>
      <w:r w:rsidRPr="00620BC5">
        <w:rPr>
          <w:rFonts w:asciiTheme="minorBidi" w:hAnsiTheme="minorBidi"/>
          <w:sz w:val="24"/>
          <w:szCs w:val="24"/>
        </w:rPr>
        <w:t>dry cold skin</w:t>
      </w:r>
      <w:r w:rsidR="00A625C9">
        <w:rPr>
          <w:rFonts w:asciiTheme="minorBidi" w:hAnsiTheme="minorBidi"/>
          <w:sz w:val="24"/>
          <w:szCs w:val="24"/>
        </w:rPr>
        <w:t>, weight gain</w:t>
      </w:r>
    </w:p>
    <w:p w:rsidR="00A625C9" w:rsidRDefault="00A625C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3- </w:t>
      </w:r>
      <w:r w:rsidR="0081255A" w:rsidRPr="0081255A">
        <w:rPr>
          <w:rFonts w:asciiTheme="minorBidi" w:hAnsiTheme="minorBidi"/>
          <w:sz w:val="24"/>
          <w:szCs w:val="24"/>
        </w:rPr>
        <w:t>fatigue, weakness, slow thin</w:t>
      </w:r>
      <w:r>
        <w:rPr>
          <w:rFonts w:asciiTheme="minorBidi" w:hAnsiTheme="minorBidi"/>
          <w:sz w:val="24"/>
          <w:szCs w:val="24"/>
        </w:rPr>
        <w:t>king, poor memory, constipation</w:t>
      </w:r>
    </w:p>
    <w:p w:rsidR="00A625C9" w:rsidRDefault="00A625C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4-</w:t>
      </w:r>
      <w:r w:rsidR="0081255A" w:rsidRPr="0081255A">
        <w:rPr>
          <w:rFonts w:asciiTheme="minorBidi" w:hAnsiTheme="minorBidi"/>
          <w:sz w:val="24"/>
          <w:szCs w:val="24"/>
        </w:rPr>
        <w:t xml:space="preserve"> slow speech</w:t>
      </w:r>
      <w:r>
        <w:rPr>
          <w:rFonts w:asciiTheme="minorBidi" w:hAnsiTheme="minorBidi"/>
          <w:sz w:val="24"/>
          <w:szCs w:val="24"/>
        </w:rPr>
        <w:t>, with hoarse voice</w:t>
      </w:r>
    </w:p>
    <w:p w:rsidR="00A625C9" w:rsidRDefault="00A625C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5- menorrhagia</w:t>
      </w:r>
    </w:p>
    <w:p w:rsidR="0081255A" w:rsidRPr="0081255A" w:rsidRDefault="00A625C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6- </w:t>
      </w:r>
      <w:r w:rsidR="0081255A" w:rsidRPr="0081255A">
        <w:rPr>
          <w:rFonts w:asciiTheme="minorBidi" w:hAnsiTheme="minorBidi"/>
          <w:sz w:val="24"/>
          <w:szCs w:val="24"/>
        </w:rPr>
        <w:t>peri</w:t>
      </w:r>
      <w:r w:rsidR="00F47CCD">
        <w:rPr>
          <w:rFonts w:asciiTheme="minorBidi" w:hAnsiTheme="minorBidi"/>
          <w:sz w:val="24"/>
          <w:szCs w:val="24"/>
        </w:rPr>
        <w:t>orbital edema and myxedema (non-</w:t>
      </w:r>
      <w:r w:rsidR="0081255A" w:rsidRPr="0081255A">
        <w:rPr>
          <w:rFonts w:asciiTheme="minorBidi" w:hAnsiTheme="minorBidi"/>
          <w:sz w:val="24"/>
          <w:szCs w:val="24"/>
        </w:rPr>
        <w:t>pitting thick skin).</w:t>
      </w:r>
    </w:p>
    <w:p w:rsidR="0081255A" w:rsidRPr="00C00BD4" w:rsidRDefault="00C00BD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Investigation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Low T4, increased TSH in primary hypothyroidism and reduced in secondary</w:t>
      </w:r>
      <w:r w:rsidR="00C00BD4">
        <w:rPr>
          <w:rFonts w:asciiTheme="minorBidi" w:hAnsiTheme="minorBidi"/>
          <w:sz w:val="24"/>
          <w:szCs w:val="24"/>
        </w:rPr>
        <w:t xml:space="preserve"> </w:t>
      </w:r>
      <w:r w:rsidRPr="0081255A">
        <w:rPr>
          <w:rFonts w:asciiTheme="minorBidi" w:hAnsiTheme="minorBidi"/>
          <w:sz w:val="24"/>
          <w:szCs w:val="24"/>
        </w:rPr>
        <w:t>hypothyroidism.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Diminished radioactive iodine uptake.</w:t>
      </w:r>
    </w:p>
    <w:p w:rsidR="0081255A" w:rsidRPr="0081255A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1255A">
        <w:rPr>
          <w:rFonts w:asciiTheme="minorBidi" w:hAnsiTheme="minorBidi"/>
          <w:sz w:val="24"/>
          <w:szCs w:val="24"/>
        </w:rPr>
        <w:t>Positive antithyroglobulin and anti-thyroid peroxidase antibodies in Hashimoto’s thyroiditis</w:t>
      </w:r>
      <w:r w:rsidR="00193A09">
        <w:rPr>
          <w:rFonts w:asciiTheme="minorBidi" w:hAnsiTheme="minorBidi"/>
          <w:sz w:val="24"/>
          <w:szCs w:val="24"/>
        </w:rPr>
        <w:t>.</w:t>
      </w:r>
    </w:p>
    <w:p w:rsidR="00C00BD4" w:rsidRPr="00C00BD4" w:rsidRDefault="00C00BD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Treatment</w:t>
      </w:r>
    </w:p>
    <w:p w:rsidR="00C00BD4" w:rsidRDefault="008E48CE" w:rsidP="008E48CE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Levothyroxine tablet</w:t>
      </w:r>
    </w:p>
    <w:p w:rsidR="0081255A" w:rsidRPr="00193A09" w:rsidRDefault="0081255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193A09">
        <w:rPr>
          <w:rFonts w:asciiTheme="minorBidi" w:hAnsiTheme="minorBidi"/>
          <w:b/>
          <w:bCs/>
          <w:sz w:val="24"/>
          <w:szCs w:val="24"/>
        </w:rPr>
        <w:t>Dental aspect</w:t>
      </w:r>
    </w:p>
    <w:p w:rsidR="00971A4E" w:rsidRPr="00971A4E" w:rsidRDefault="00971A4E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Sedative drugs should be avoided in poorly controlled hypothyroidism as they may precipitate </w:t>
      </w:r>
      <w:r w:rsidRPr="00971A4E">
        <w:rPr>
          <w:rFonts w:asciiTheme="minorBidi" w:hAnsiTheme="minorBidi"/>
          <w:sz w:val="24"/>
          <w:szCs w:val="24"/>
        </w:rPr>
        <w:t>myxedematous coma</w:t>
      </w:r>
      <w:r>
        <w:rPr>
          <w:rFonts w:asciiTheme="minorBidi" w:hAnsiTheme="minorBidi"/>
          <w:sz w:val="24"/>
          <w:szCs w:val="24"/>
        </w:rPr>
        <w:t>.</w:t>
      </w:r>
    </w:p>
    <w:p w:rsidR="0081255A" w:rsidRDefault="00971A4E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Well controlled hypothyroidism carries no significant risk in dental procedures.</w:t>
      </w:r>
    </w:p>
    <w:p w:rsidR="00AB7512" w:rsidRDefault="003D740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Many medical conditions may be present in association with hypothyroidism and may carry significant risk, these include:</w:t>
      </w:r>
    </w:p>
    <w:p w:rsidR="003D7404" w:rsidRDefault="003D740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1- anemia                                       2- hypotension                                  3- heart failure</w:t>
      </w:r>
    </w:p>
    <w:p w:rsidR="003D7404" w:rsidRDefault="003D740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4- </w:t>
      </w:r>
      <w:r w:rsidRPr="003D7404">
        <w:rPr>
          <w:rFonts w:asciiTheme="minorBidi" w:hAnsiTheme="minorBidi"/>
          <w:sz w:val="24"/>
          <w:szCs w:val="24"/>
        </w:rPr>
        <w:t>Addison’s</w:t>
      </w:r>
      <w:r>
        <w:rPr>
          <w:rFonts w:asciiTheme="minorBidi" w:hAnsiTheme="minorBidi"/>
          <w:sz w:val="24"/>
          <w:szCs w:val="24"/>
        </w:rPr>
        <w:t xml:space="preserve"> disease                      5- hypopituitarism                             6- Sj</w:t>
      </w:r>
      <w:r w:rsidRPr="003D7404">
        <w:rPr>
          <w:rFonts w:asciiTheme="minorBidi" w:hAnsiTheme="minorBidi"/>
          <w:sz w:val="24"/>
          <w:szCs w:val="24"/>
        </w:rPr>
        <w:t>ogren</w:t>
      </w:r>
      <w:r w:rsidR="006354B9">
        <w:rPr>
          <w:rFonts w:asciiTheme="minorBidi" w:hAnsiTheme="minorBidi"/>
          <w:sz w:val="24"/>
          <w:szCs w:val="24"/>
        </w:rPr>
        <w:t>'s</w:t>
      </w:r>
      <w:r w:rsidRPr="003D7404">
        <w:rPr>
          <w:rFonts w:asciiTheme="minorBidi" w:hAnsiTheme="minorBidi"/>
          <w:sz w:val="24"/>
          <w:szCs w:val="24"/>
        </w:rPr>
        <w:t xml:space="preserve"> syndrome.</w:t>
      </w:r>
    </w:p>
    <w:p w:rsidR="00155FC4" w:rsidRDefault="00155FC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8E48CE" w:rsidRDefault="008E48CE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155FC4" w:rsidRPr="008542AB" w:rsidRDefault="00155FC4" w:rsidP="00E2777F">
      <w:pPr>
        <w:shd w:val="clear" w:color="auto" w:fill="BFBFBF" w:themeFill="background1" w:themeFillShade="BF"/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542AB">
        <w:rPr>
          <w:rFonts w:asciiTheme="minorBidi" w:hAnsiTheme="minorBidi"/>
          <w:b/>
          <w:bCs/>
          <w:sz w:val="24"/>
          <w:szCs w:val="24"/>
        </w:rPr>
        <w:t>Disorders of adrenal gland</w:t>
      </w:r>
    </w:p>
    <w:p w:rsidR="00CF7A2D" w:rsidRDefault="00CF7A2D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CF7A2D">
        <w:rPr>
          <w:rFonts w:asciiTheme="minorBidi" w:hAnsiTheme="minorBidi"/>
          <w:sz w:val="24"/>
          <w:szCs w:val="24"/>
        </w:rPr>
        <w:t>The adrenals comprise several separate endocrine glands</w:t>
      </w:r>
      <w:r>
        <w:rPr>
          <w:rFonts w:asciiTheme="minorBidi" w:hAnsiTheme="minorBidi"/>
          <w:sz w:val="24"/>
          <w:szCs w:val="24"/>
        </w:rPr>
        <w:t xml:space="preserve"> </w:t>
      </w:r>
      <w:r w:rsidRPr="00CF7A2D">
        <w:rPr>
          <w:rFonts w:asciiTheme="minorBidi" w:hAnsiTheme="minorBidi"/>
          <w:sz w:val="24"/>
          <w:szCs w:val="24"/>
        </w:rPr>
        <w:t>within a s</w:t>
      </w:r>
      <w:r>
        <w:rPr>
          <w:rFonts w:asciiTheme="minorBidi" w:hAnsiTheme="minorBidi"/>
          <w:sz w:val="24"/>
          <w:szCs w:val="24"/>
        </w:rPr>
        <w:t xml:space="preserve">ingle anatomical structure. </w:t>
      </w:r>
    </w:p>
    <w:p w:rsidR="00CF7A2D" w:rsidRPr="00CF7A2D" w:rsidRDefault="00CF7A2D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The </w:t>
      </w:r>
      <w:r w:rsidRPr="00CF7A2D">
        <w:rPr>
          <w:rFonts w:asciiTheme="minorBidi" w:hAnsiTheme="minorBidi"/>
          <w:sz w:val="24"/>
          <w:szCs w:val="24"/>
        </w:rPr>
        <w:t>adrenal medulla</w:t>
      </w:r>
      <w:r>
        <w:rPr>
          <w:rFonts w:asciiTheme="minorBidi" w:hAnsiTheme="minorBidi"/>
          <w:sz w:val="24"/>
          <w:szCs w:val="24"/>
        </w:rPr>
        <w:t xml:space="preserve"> </w:t>
      </w:r>
      <w:r w:rsidRPr="00CF7A2D">
        <w:rPr>
          <w:rFonts w:asciiTheme="minorBidi" w:hAnsiTheme="minorBidi"/>
          <w:sz w:val="24"/>
          <w:szCs w:val="24"/>
        </w:rPr>
        <w:t>is an extension of the sympathetic nervous system which</w:t>
      </w:r>
      <w:r>
        <w:rPr>
          <w:rFonts w:asciiTheme="minorBidi" w:hAnsiTheme="minorBidi"/>
          <w:sz w:val="24"/>
          <w:szCs w:val="24"/>
        </w:rPr>
        <w:t xml:space="preserve"> </w:t>
      </w:r>
      <w:r w:rsidRPr="00CF7A2D">
        <w:rPr>
          <w:rFonts w:asciiTheme="minorBidi" w:hAnsiTheme="minorBidi"/>
          <w:sz w:val="24"/>
          <w:szCs w:val="24"/>
        </w:rPr>
        <w:t>secretes catecholamines into capillaries rather than synapses.</w:t>
      </w:r>
    </w:p>
    <w:p w:rsidR="00A47BD8" w:rsidRDefault="00CF7A2D" w:rsidP="008E48CE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CF7A2D">
        <w:rPr>
          <w:rFonts w:asciiTheme="minorBidi" w:hAnsiTheme="minorBidi"/>
          <w:sz w:val="24"/>
          <w:szCs w:val="24"/>
        </w:rPr>
        <w:t>Most of the adrenal cortex is made up of cells which</w:t>
      </w:r>
      <w:r>
        <w:rPr>
          <w:rFonts w:asciiTheme="minorBidi" w:hAnsiTheme="minorBidi"/>
          <w:sz w:val="24"/>
          <w:szCs w:val="24"/>
        </w:rPr>
        <w:t xml:space="preserve"> </w:t>
      </w:r>
      <w:r w:rsidRPr="00CF7A2D">
        <w:rPr>
          <w:rFonts w:asciiTheme="minorBidi" w:hAnsiTheme="minorBidi"/>
          <w:sz w:val="24"/>
          <w:szCs w:val="24"/>
        </w:rPr>
        <w:t>secrete cortisol and adrenal androgens</w:t>
      </w:r>
      <w:r>
        <w:rPr>
          <w:rFonts w:asciiTheme="minorBidi" w:hAnsiTheme="minorBidi"/>
          <w:sz w:val="24"/>
          <w:szCs w:val="24"/>
        </w:rPr>
        <w:t>.</w:t>
      </w:r>
    </w:p>
    <w:p w:rsidR="00A47BD8" w:rsidRDefault="00A47BD8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47BD8">
        <w:rPr>
          <w:rFonts w:asciiTheme="minorBidi" w:hAnsiTheme="minorBidi"/>
          <w:b/>
          <w:bCs/>
          <w:sz w:val="24"/>
          <w:szCs w:val="24"/>
        </w:rPr>
        <w:t>Presenting problems in adrenal disease</w:t>
      </w:r>
    </w:p>
    <w:p w:rsidR="00155FC4" w:rsidRPr="008542AB" w:rsidRDefault="00A47BD8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542AB">
        <w:rPr>
          <w:rFonts w:asciiTheme="minorBidi" w:hAnsiTheme="minorBidi"/>
          <w:b/>
          <w:bCs/>
          <w:sz w:val="24"/>
          <w:szCs w:val="24"/>
          <w:highlight w:val="lightGray"/>
        </w:rPr>
        <w:t xml:space="preserve">I- </w:t>
      </w:r>
      <w:r w:rsidR="00155FC4" w:rsidRPr="008542AB">
        <w:rPr>
          <w:rFonts w:asciiTheme="minorBidi" w:hAnsiTheme="minorBidi"/>
          <w:b/>
          <w:bCs/>
          <w:sz w:val="24"/>
          <w:szCs w:val="24"/>
          <w:highlight w:val="lightGray"/>
        </w:rPr>
        <w:t>Adrenal insufficiency</w:t>
      </w:r>
    </w:p>
    <w:p w:rsidR="00EB6D4B" w:rsidRPr="00EB6D4B" w:rsidRDefault="00A47BD8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47BD8">
        <w:rPr>
          <w:rFonts w:asciiTheme="minorBidi" w:hAnsiTheme="minorBidi"/>
          <w:sz w:val="24"/>
          <w:szCs w:val="24"/>
        </w:rPr>
        <w:t>Adrenal insufficiency results from inadequate secretion</w:t>
      </w:r>
      <w:r>
        <w:rPr>
          <w:rFonts w:asciiTheme="minorBidi" w:hAnsiTheme="minorBidi"/>
          <w:sz w:val="24"/>
          <w:szCs w:val="24"/>
        </w:rPr>
        <w:t xml:space="preserve"> </w:t>
      </w:r>
      <w:r w:rsidRPr="00A47BD8">
        <w:rPr>
          <w:rFonts w:asciiTheme="minorBidi" w:hAnsiTheme="minorBidi"/>
          <w:sz w:val="24"/>
          <w:szCs w:val="24"/>
        </w:rPr>
        <w:t>of cortisol and/or aldosterone. It is potentially fatal</w:t>
      </w:r>
      <w:r>
        <w:rPr>
          <w:rFonts w:asciiTheme="minorBidi" w:hAnsiTheme="minorBidi"/>
          <w:sz w:val="24"/>
          <w:szCs w:val="24"/>
        </w:rPr>
        <w:t xml:space="preserve"> </w:t>
      </w:r>
      <w:r w:rsidRPr="00A47BD8">
        <w:rPr>
          <w:rFonts w:asciiTheme="minorBidi" w:hAnsiTheme="minorBidi"/>
          <w:sz w:val="24"/>
          <w:szCs w:val="24"/>
        </w:rPr>
        <w:t>and notoriously variable in its presentation. A high</w:t>
      </w:r>
      <w:r>
        <w:rPr>
          <w:rFonts w:asciiTheme="minorBidi" w:hAnsiTheme="minorBidi"/>
          <w:sz w:val="24"/>
          <w:szCs w:val="24"/>
        </w:rPr>
        <w:t xml:space="preserve"> </w:t>
      </w:r>
      <w:r w:rsidRPr="00A47BD8">
        <w:rPr>
          <w:rFonts w:asciiTheme="minorBidi" w:hAnsiTheme="minorBidi"/>
          <w:sz w:val="24"/>
          <w:szCs w:val="24"/>
        </w:rPr>
        <w:t>index of suspicion is therefore required in patients with</w:t>
      </w:r>
      <w:r>
        <w:rPr>
          <w:rFonts w:asciiTheme="minorBidi" w:hAnsiTheme="minorBidi"/>
          <w:sz w:val="24"/>
          <w:szCs w:val="24"/>
        </w:rPr>
        <w:t xml:space="preserve"> unexplained fatigue, hyponatr</w:t>
      </w:r>
      <w:r w:rsidRPr="00A47BD8">
        <w:rPr>
          <w:rFonts w:asciiTheme="minorBidi" w:hAnsiTheme="minorBidi"/>
          <w:sz w:val="24"/>
          <w:szCs w:val="24"/>
        </w:rPr>
        <w:t>emia or hypotension.</w:t>
      </w:r>
    </w:p>
    <w:p w:rsidR="00EB6D4B" w:rsidRPr="00EB6D4B" w:rsidRDefault="00EB6D4B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EB6D4B">
        <w:rPr>
          <w:rFonts w:asciiTheme="minorBidi" w:hAnsiTheme="minorBidi"/>
          <w:b/>
          <w:bCs/>
          <w:sz w:val="24"/>
          <w:szCs w:val="24"/>
        </w:rPr>
        <w:t>Causes</w:t>
      </w:r>
    </w:p>
    <w:p w:rsidR="00EB6D4B" w:rsidRDefault="00EB6D4B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Adrenal failure could be:</w:t>
      </w:r>
    </w:p>
    <w:p w:rsidR="00155FC4" w:rsidRPr="00155FC4" w:rsidRDefault="00EB6D4B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A- </w:t>
      </w:r>
      <w:r w:rsidR="00155FC4" w:rsidRPr="00155FC4">
        <w:rPr>
          <w:rFonts w:asciiTheme="minorBidi" w:hAnsiTheme="minorBidi"/>
          <w:sz w:val="24"/>
          <w:szCs w:val="24"/>
        </w:rPr>
        <w:t>primary defect</w:t>
      </w:r>
      <w:r>
        <w:rPr>
          <w:rFonts w:asciiTheme="minorBidi" w:hAnsiTheme="minorBidi"/>
          <w:sz w:val="24"/>
          <w:szCs w:val="24"/>
        </w:rPr>
        <w:t xml:space="preserve"> in adrenals</w:t>
      </w:r>
      <w:r w:rsidR="00155FC4" w:rsidRPr="00155FC4">
        <w:rPr>
          <w:rFonts w:asciiTheme="minorBidi" w:hAnsiTheme="minorBidi"/>
          <w:sz w:val="24"/>
          <w:szCs w:val="24"/>
        </w:rPr>
        <w:t xml:space="preserve"> called Addison’s disease due to</w:t>
      </w:r>
      <w:r>
        <w:rPr>
          <w:rFonts w:asciiTheme="minorBidi" w:hAnsiTheme="minorBidi"/>
          <w:sz w:val="24"/>
          <w:szCs w:val="24"/>
        </w:rPr>
        <w:t>:</w:t>
      </w:r>
    </w:p>
    <w:p w:rsidR="00EB6D4B" w:rsidRDefault="00EB6D4B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1- autoimmune disease</w:t>
      </w:r>
    </w:p>
    <w:p w:rsidR="00EB6D4B" w:rsidRDefault="00EB6D4B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2- tuberculosis</w:t>
      </w:r>
    </w:p>
    <w:p w:rsidR="00EB6D4B" w:rsidRDefault="00EB6D4B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3- septicemia</w:t>
      </w:r>
    </w:p>
    <w:p w:rsidR="00DE5D6D" w:rsidRDefault="00DE5D6D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A5621A" w:rsidRDefault="00A5621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155FC4" w:rsidRPr="00155FC4" w:rsidRDefault="00EB6D4B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B- </w:t>
      </w:r>
      <w:r w:rsidR="00155FC4" w:rsidRPr="00155FC4">
        <w:rPr>
          <w:rFonts w:asciiTheme="minorBidi" w:hAnsiTheme="minorBidi"/>
          <w:sz w:val="24"/>
          <w:szCs w:val="24"/>
        </w:rPr>
        <w:t>secondary defect due to suppression of</w:t>
      </w:r>
      <w:r w:rsidR="00451EB0">
        <w:rPr>
          <w:rFonts w:asciiTheme="minorBidi" w:hAnsiTheme="minorBidi"/>
          <w:sz w:val="24"/>
          <w:szCs w:val="24"/>
        </w:rPr>
        <w:t xml:space="preserve"> hypothalamic- pituitary-</w:t>
      </w:r>
      <w:r w:rsidR="00155FC4" w:rsidRPr="00155FC4">
        <w:rPr>
          <w:rFonts w:asciiTheme="minorBidi" w:hAnsiTheme="minorBidi"/>
          <w:sz w:val="24"/>
          <w:szCs w:val="24"/>
        </w:rPr>
        <w:t>adrenal axis by exogenous steroids, or pituitary- hypothalamic</w:t>
      </w:r>
      <w:r>
        <w:rPr>
          <w:rFonts w:asciiTheme="minorBidi" w:hAnsiTheme="minorBidi"/>
          <w:sz w:val="24"/>
          <w:szCs w:val="24"/>
        </w:rPr>
        <w:t xml:space="preserve"> </w:t>
      </w:r>
      <w:r w:rsidR="00155FC4" w:rsidRPr="00155FC4">
        <w:rPr>
          <w:rFonts w:asciiTheme="minorBidi" w:hAnsiTheme="minorBidi"/>
          <w:sz w:val="24"/>
          <w:szCs w:val="24"/>
        </w:rPr>
        <w:t>disease.</w:t>
      </w:r>
    </w:p>
    <w:p w:rsidR="00EB6D4B" w:rsidRPr="00EB6D4B" w:rsidRDefault="00EB6D4B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EB6D4B">
        <w:rPr>
          <w:rFonts w:asciiTheme="minorBidi" w:hAnsiTheme="minorBidi"/>
          <w:b/>
          <w:bCs/>
          <w:sz w:val="24"/>
          <w:szCs w:val="24"/>
        </w:rPr>
        <w:t>Clinical features</w:t>
      </w:r>
    </w:p>
    <w:p w:rsidR="00155FC4" w:rsidRPr="00155FC4" w:rsidRDefault="00EB6D4B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1- </w:t>
      </w:r>
      <w:r w:rsidR="00155FC4" w:rsidRPr="00155FC4">
        <w:rPr>
          <w:rFonts w:asciiTheme="minorBidi" w:hAnsiTheme="minorBidi"/>
          <w:sz w:val="24"/>
          <w:szCs w:val="24"/>
        </w:rPr>
        <w:t>weakness, weight loss, anorexia,</w:t>
      </w:r>
      <w:r>
        <w:rPr>
          <w:rFonts w:asciiTheme="minorBidi" w:hAnsiTheme="minorBidi"/>
          <w:sz w:val="24"/>
          <w:szCs w:val="24"/>
        </w:rPr>
        <w:t xml:space="preserve"> nausea, vomiting</w:t>
      </w:r>
    </w:p>
    <w:p w:rsidR="00EB6D4B" w:rsidRDefault="00EB6D4B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2- hypotension, hypoglycemia</w:t>
      </w:r>
    </w:p>
    <w:p w:rsidR="00EB6D4B" w:rsidRDefault="00EB6D4B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3- </w:t>
      </w:r>
      <w:r w:rsidR="00155FC4" w:rsidRPr="00155FC4">
        <w:rPr>
          <w:rFonts w:asciiTheme="minorBidi" w:hAnsiTheme="minorBidi"/>
          <w:sz w:val="24"/>
          <w:szCs w:val="24"/>
        </w:rPr>
        <w:t>diarrhea, abdomin</w:t>
      </w:r>
      <w:r>
        <w:rPr>
          <w:rFonts w:asciiTheme="minorBidi" w:hAnsiTheme="minorBidi"/>
          <w:sz w:val="24"/>
          <w:szCs w:val="24"/>
        </w:rPr>
        <w:t>al pain, dehydration</w:t>
      </w:r>
    </w:p>
    <w:p w:rsidR="00155FC4" w:rsidRPr="00155FC4" w:rsidRDefault="00EB6D4B" w:rsidP="00EC2977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4- hyper</w:t>
      </w:r>
      <w:r w:rsidR="00155FC4" w:rsidRPr="00155FC4">
        <w:rPr>
          <w:rFonts w:asciiTheme="minorBidi" w:hAnsiTheme="minorBidi"/>
          <w:sz w:val="24"/>
          <w:szCs w:val="24"/>
        </w:rPr>
        <w:t>pigmentation</w:t>
      </w:r>
      <w:r>
        <w:rPr>
          <w:rFonts w:asciiTheme="minorBidi" w:hAnsiTheme="minorBidi"/>
          <w:sz w:val="24"/>
          <w:szCs w:val="24"/>
        </w:rPr>
        <w:t xml:space="preserve"> </w:t>
      </w:r>
      <w:r w:rsidR="00155FC4" w:rsidRPr="00155FC4">
        <w:rPr>
          <w:rFonts w:asciiTheme="minorBidi" w:hAnsiTheme="minorBidi"/>
          <w:sz w:val="24"/>
          <w:szCs w:val="24"/>
        </w:rPr>
        <w:t>of mucosa (tongue, gingiva), hand crease, and elbows and knees.</w:t>
      </w:r>
    </w:p>
    <w:p w:rsidR="00155FC4" w:rsidRPr="00EB6D4B" w:rsidRDefault="00EB6D4B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Investigation</w:t>
      </w:r>
    </w:p>
    <w:p w:rsidR="00155FC4" w:rsidRPr="00155FC4" w:rsidRDefault="00155FC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155FC4">
        <w:rPr>
          <w:rFonts w:asciiTheme="minorBidi" w:hAnsiTheme="minorBidi"/>
          <w:sz w:val="24"/>
          <w:szCs w:val="24"/>
        </w:rPr>
        <w:t>Low serum cortisol before and after ACTH stimulation</w:t>
      </w:r>
    </w:p>
    <w:p w:rsidR="00155FC4" w:rsidRPr="00155FC4" w:rsidRDefault="00155FC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155FC4">
        <w:rPr>
          <w:rFonts w:asciiTheme="minorBidi" w:hAnsiTheme="minorBidi"/>
          <w:sz w:val="24"/>
          <w:szCs w:val="24"/>
        </w:rPr>
        <w:t>Increased ACTH in primary defect and reduced in secondary defect.</w:t>
      </w:r>
    </w:p>
    <w:p w:rsidR="00155FC4" w:rsidRPr="00155FC4" w:rsidRDefault="00155FC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155FC4">
        <w:rPr>
          <w:rFonts w:asciiTheme="minorBidi" w:hAnsiTheme="minorBidi"/>
          <w:sz w:val="24"/>
          <w:szCs w:val="24"/>
        </w:rPr>
        <w:t>High serum potassium, low serum sodium, hypoglycemia, and anemia.</w:t>
      </w:r>
    </w:p>
    <w:p w:rsidR="00155FC4" w:rsidRPr="00191932" w:rsidRDefault="00191932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Treatment</w:t>
      </w:r>
    </w:p>
    <w:p w:rsidR="00155FC4" w:rsidRPr="00155FC4" w:rsidRDefault="00155FC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155FC4">
        <w:rPr>
          <w:rFonts w:asciiTheme="minorBidi" w:hAnsiTheme="minorBidi"/>
          <w:sz w:val="24"/>
          <w:szCs w:val="24"/>
        </w:rPr>
        <w:t>Hydrocortisone and ﬂudrocortisone.</w:t>
      </w:r>
    </w:p>
    <w:p w:rsidR="002269E5" w:rsidRDefault="002269E5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2269E5" w:rsidRPr="002269E5" w:rsidRDefault="002269E5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2269E5">
        <w:rPr>
          <w:rFonts w:asciiTheme="minorBidi" w:hAnsiTheme="minorBidi"/>
          <w:b/>
          <w:bCs/>
          <w:sz w:val="24"/>
          <w:szCs w:val="24"/>
          <w:highlight w:val="lightGray"/>
        </w:rPr>
        <w:t>Addisonian or adrenal crisis</w:t>
      </w:r>
      <w:r w:rsidR="00155FC4" w:rsidRPr="002269E5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155FC4" w:rsidRPr="00155FC4" w:rsidRDefault="002269E5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 critical clinical condition caused by </w:t>
      </w:r>
      <w:r w:rsidR="00155FC4" w:rsidRPr="00155FC4">
        <w:rPr>
          <w:rFonts w:asciiTheme="minorBidi" w:hAnsiTheme="minorBidi"/>
          <w:sz w:val="24"/>
          <w:szCs w:val="24"/>
        </w:rPr>
        <w:t>acute adrenal insufficiency characterized by shock,</w:t>
      </w:r>
      <w:r>
        <w:rPr>
          <w:rFonts w:asciiTheme="minorBidi" w:hAnsiTheme="minorBidi"/>
          <w:sz w:val="24"/>
          <w:szCs w:val="24"/>
        </w:rPr>
        <w:t xml:space="preserve"> </w:t>
      </w:r>
      <w:r w:rsidR="00155FC4" w:rsidRPr="00155FC4">
        <w:rPr>
          <w:rFonts w:asciiTheme="minorBidi" w:hAnsiTheme="minorBidi"/>
          <w:sz w:val="24"/>
          <w:szCs w:val="24"/>
        </w:rPr>
        <w:t xml:space="preserve">dehydration, confusion, weakness, nausea, vomiting, and hypoglycemia. </w:t>
      </w:r>
      <w:r>
        <w:rPr>
          <w:rFonts w:asciiTheme="minorBidi" w:hAnsiTheme="minorBidi"/>
          <w:sz w:val="24"/>
          <w:szCs w:val="24"/>
        </w:rPr>
        <w:t xml:space="preserve"> </w:t>
      </w:r>
      <w:r w:rsidR="00155FC4" w:rsidRPr="00155FC4">
        <w:rPr>
          <w:rFonts w:asciiTheme="minorBidi" w:hAnsiTheme="minorBidi"/>
          <w:sz w:val="24"/>
          <w:szCs w:val="24"/>
        </w:rPr>
        <w:t>It is precipitated</w:t>
      </w:r>
      <w:r>
        <w:rPr>
          <w:rFonts w:asciiTheme="minorBidi" w:hAnsiTheme="minorBidi"/>
          <w:sz w:val="24"/>
          <w:szCs w:val="24"/>
        </w:rPr>
        <w:t xml:space="preserve"> </w:t>
      </w:r>
      <w:r w:rsidR="00155FC4" w:rsidRPr="00155FC4">
        <w:rPr>
          <w:rFonts w:asciiTheme="minorBidi" w:hAnsiTheme="minorBidi"/>
          <w:sz w:val="24"/>
          <w:szCs w:val="24"/>
        </w:rPr>
        <w:t>by stress like sepsis, hemorrhage, or trauma.</w:t>
      </w:r>
    </w:p>
    <w:p w:rsidR="002269E5" w:rsidRPr="002269E5" w:rsidRDefault="002269E5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2269E5">
        <w:rPr>
          <w:rFonts w:asciiTheme="minorBidi" w:hAnsiTheme="minorBidi"/>
          <w:b/>
          <w:bCs/>
          <w:sz w:val="24"/>
          <w:szCs w:val="24"/>
        </w:rPr>
        <w:t>Treatment</w:t>
      </w:r>
    </w:p>
    <w:p w:rsidR="002269E5" w:rsidRDefault="002269E5" w:rsidP="00784FEA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</w:t>
      </w:r>
      <w:r w:rsidR="00155FC4" w:rsidRPr="00155FC4">
        <w:rPr>
          <w:rFonts w:asciiTheme="minorBidi" w:hAnsiTheme="minorBidi"/>
          <w:sz w:val="24"/>
          <w:szCs w:val="24"/>
        </w:rPr>
        <w:t>mmediate ﬂuid resus</w:t>
      </w:r>
      <w:r w:rsidR="00784FEA">
        <w:rPr>
          <w:rFonts w:asciiTheme="minorBidi" w:hAnsiTheme="minorBidi"/>
          <w:sz w:val="24"/>
          <w:szCs w:val="24"/>
        </w:rPr>
        <w:t>citation and IV hydrocortisone.</w:t>
      </w:r>
    </w:p>
    <w:p w:rsidR="00155FC4" w:rsidRPr="0077177F" w:rsidRDefault="00E471FF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highlight w:val="lightGray"/>
        </w:rPr>
        <w:t>Dental aspect</w:t>
      </w:r>
    </w:p>
    <w:p w:rsidR="00155FC4" w:rsidRPr="00155FC4" w:rsidRDefault="00155FC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155FC4">
        <w:rPr>
          <w:rFonts w:asciiTheme="minorBidi" w:hAnsiTheme="minorBidi"/>
          <w:sz w:val="24"/>
          <w:szCs w:val="24"/>
        </w:rPr>
        <w:t>To prevent Addisonian crisis, before performing dental surgery under LA, the patient</w:t>
      </w:r>
      <w:r w:rsidR="00E471FF">
        <w:rPr>
          <w:rFonts w:asciiTheme="minorBidi" w:hAnsiTheme="minorBidi"/>
          <w:sz w:val="24"/>
          <w:szCs w:val="24"/>
        </w:rPr>
        <w:t xml:space="preserve"> </w:t>
      </w:r>
      <w:r w:rsidRPr="00155FC4">
        <w:rPr>
          <w:rFonts w:asciiTheme="minorBidi" w:hAnsiTheme="minorBidi"/>
          <w:sz w:val="24"/>
          <w:szCs w:val="24"/>
        </w:rPr>
        <w:t>should be given 100 mg hydrocortisone 1 hour pre-operatively followed by 100 mg every 6</w:t>
      </w:r>
      <w:r w:rsidR="00E471FF">
        <w:rPr>
          <w:rFonts w:asciiTheme="minorBidi" w:hAnsiTheme="minorBidi"/>
          <w:sz w:val="24"/>
          <w:szCs w:val="24"/>
        </w:rPr>
        <w:t xml:space="preserve"> </w:t>
      </w:r>
      <w:r w:rsidRPr="00155FC4">
        <w:rPr>
          <w:rFonts w:asciiTheme="minorBidi" w:hAnsiTheme="minorBidi"/>
          <w:sz w:val="24"/>
          <w:szCs w:val="24"/>
        </w:rPr>
        <w:t>hours for one day post-operatively then return to the usual dose.</w:t>
      </w:r>
    </w:p>
    <w:p w:rsidR="00155FC4" w:rsidRPr="00155FC4" w:rsidRDefault="00155FC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155FC4">
        <w:rPr>
          <w:rFonts w:asciiTheme="minorBidi" w:hAnsiTheme="minorBidi"/>
          <w:sz w:val="24"/>
          <w:szCs w:val="24"/>
        </w:rPr>
        <w:t>For major surgery, the patient should be given 100 mg hydrocortisone 1 hour pre-</w:t>
      </w:r>
      <w:r w:rsidR="00E471FF">
        <w:rPr>
          <w:rFonts w:asciiTheme="minorBidi" w:hAnsiTheme="minorBidi"/>
          <w:sz w:val="24"/>
          <w:szCs w:val="24"/>
        </w:rPr>
        <w:t xml:space="preserve"> </w:t>
      </w:r>
      <w:r w:rsidRPr="00155FC4">
        <w:rPr>
          <w:rFonts w:asciiTheme="minorBidi" w:hAnsiTheme="minorBidi"/>
          <w:sz w:val="24"/>
          <w:szCs w:val="24"/>
        </w:rPr>
        <w:t>operatively followed by 100 mg every 6 hours for 3 days post-operatively then return to the</w:t>
      </w:r>
      <w:r w:rsidR="00E471FF">
        <w:rPr>
          <w:rFonts w:asciiTheme="minorBidi" w:hAnsiTheme="minorBidi"/>
          <w:sz w:val="24"/>
          <w:szCs w:val="24"/>
        </w:rPr>
        <w:t xml:space="preserve"> </w:t>
      </w:r>
      <w:r w:rsidRPr="00155FC4">
        <w:rPr>
          <w:rFonts w:asciiTheme="minorBidi" w:hAnsiTheme="minorBidi"/>
          <w:sz w:val="24"/>
          <w:szCs w:val="24"/>
        </w:rPr>
        <w:t>usual dose.</w:t>
      </w:r>
    </w:p>
    <w:p w:rsidR="00E471FF" w:rsidRDefault="00E471FF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155FC4" w:rsidRPr="008542AB" w:rsidRDefault="00E471FF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542AB">
        <w:rPr>
          <w:rFonts w:asciiTheme="minorBidi" w:hAnsiTheme="minorBidi"/>
          <w:b/>
          <w:bCs/>
          <w:sz w:val="24"/>
          <w:szCs w:val="24"/>
          <w:highlight w:val="lightGray"/>
        </w:rPr>
        <w:t>Cushing’s syndrome</w:t>
      </w:r>
    </w:p>
    <w:p w:rsidR="00E471FF" w:rsidRPr="00E471FF" w:rsidRDefault="00E471FF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 group of clinical manifestations </w:t>
      </w:r>
      <w:r w:rsidR="00155FC4" w:rsidRPr="00155FC4">
        <w:rPr>
          <w:rFonts w:asciiTheme="minorBidi" w:hAnsiTheme="minorBidi"/>
          <w:sz w:val="24"/>
          <w:szCs w:val="24"/>
        </w:rPr>
        <w:t>caused by excess cortisol.</w:t>
      </w:r>
      <w:r>
        <w:rPr>
          <w:rFonts w:asciiTheme="minorBidi" w:hAnsiTheme="minorBidi"/>
          <w:sz w:val="24"/>
          <w:szCs w:val="24"/>
        </w:rPr>
        <w:t xml:space="preserve"> </w:t>
      </w:r>
      <w:r w:rsidRPr="00E471FF">
        <w:rPr>
          <w:rFonts w:asciiTheme="minorBidi" w:hAnsiTheme="minorBidi"/>
          <w:sz w:val="24"/>
          <w:szCs w:val="24"/>
        </w:rPr>
        <w:t>By far the most common</w:t>
      </w:r>
      <w:r>
        <w:rPr>
          <w:rFonts w:asciiTheme="minorBidi" w:hAnsiTheme="minorBidi"/>
          <w:sz w:val="24"/>
          <w:szCs w:val="24"/>
        </w:rPr>
        <w:t xml:space="preserve"> </w:t>
      </w:r>
      <w:r w:rsidRPr="00E471FF">
        <w:rPr>
          <w:rFonts w:asciiTheme="minorBidi" w:hAnsiTheme="minorBidi"/>
          <w:sz w:val="24"/>
          <w:szCs w:val="24"/>
        </w:rPr>
        <w:t>cause is iatrogenic, due to prolonged administration of</w:t>
      </w:r>
      <w:r>
        <w:rPr>
          <w:rFonts w:asciiTheme="minorBidi" w:hAnsiTheme="minorBidi"/>
          <w:sz w:val="24"/>
          <w:szCs w:val="24"/>
        </w:rPr>
        <w:t xml:space="preserve"> </w:t>
      </w:r>
      <w:r w:rsidRPr="00E471FF">
        <w:rPr>
          <w:rFonts w:asciiTheme="minorBidi" w:hAnsiTheme="minorBidi"/>
          <w:sz w:val="24"/>
          <w:szCs w:val="24"/>
        </w:rPr>
        <w:t>synthetic</w:t>
      </w:r>
      <w:r>
        <w:rPr>
          <w:rFonts w:asciiTheme="minorBidi" w:hAnsiTheme="minorBidi"/>
          <w:sz w:val="24"/>
          <w:szCs w:val="24"/>
        </w:rPr>
        <w:t xml:space="preserve"> </w:t>
      </w:r>
      <w:r w:rsidRPr="00E471FF">
        <w:rPr>
          <w:rFonts w:asciiTheme="minorBidi" w:hAnsiTheme="minorBidi"/>
          <w:sz w:val="24"/>
          <w:szCs w:val="24"/>
        </w:rPr>
        <w:t>glucocorticoids such as prednisolone. Non-</w:t>
      </w:r>
    </w:p>
    <w:p w:rsidR="00155FC4" w:rsidRPr="00155FC4" w:rsidRDefault="003D525E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</w:t>
      </w:r>
      <w:r w:rsidR="00E471FF" w:rsidRPr="00E471FF">
        <w:rPr>
          <w:rFonts w:asciiTheme="minorBidi" w:hAnsiTheme="minorBidi"/>
          <w:sz w:val="24"/>
          <w:szCs w:val="24"/>
        </w:rPr>
        <w:t>atrogenic</w:t>
      </w:r>
      <w:r w:rsidR="00E471FF">
        <w:rPr>
          <w:rFonts w:asciiTheme="minorBidi" w:hAnsiTheme="minorBidi"/>
          <w:sz w:val="24"/>
          <w:szCs w:val="24"/>
        </w:rPr>
        <w:t xml:space="preserve"> </w:t>
      </w:r>
      <w:r w:rsidR="00E471FF" w:rsidRPr="00E471FF">
        <w:rPr>
          <w:rFonts w:asciiTheme="minorBidi" w:hAnsiTheme="minorBidi"/>
          <w:sz w:val="24"/>
          <w:szCs w:val="24"/>
        </w:rPr>
        <w:t>Cushing</w:t>
      </w:r>
      <w:r w:rsidR="00E471FF" w:rsidRPr="00E471FF">
        <w:rPr>
          <w:rFonts w:asciiTheme="minorBidi" w:hAnsiTheme="minorBidi" w:hint="cs"/>
          <w:sz w:val="24"/>
          <w:szCs w:val="24"/>
        </w:rPr>
        <w:t>’</w:t>
      </w:r>
      <w:r w:rsidR="00E471FF" w:rsidRPr="00E471FF">
        <w:rPr>
          <w:rFonts w:asciiTheme="minorBidi" w:hAnsiTheme="minorBidi"/>
          <w:sz w:val="24"/>
          <w:szCs w:val="24"/>
        </w:rPr>
        <w:t>s syndrome is rare</w:t>
      </w:r>
      <w:r w:rsidR="00E471FF">
        <w:rPr>
          <w:rFonts w:asciiTheme="minorBidi" w:hAnsiTheme="minorBidi"/>
          <w:sz w:val="24"/>
          <w:szCs w:val="24"/>
        </w:rPr>
        <w:t>.</w:t>
      </w:r>
    </w:p>
    <w:p w:rsidR="00D565AC" w:rsidRPr="00D565AC" w:rsidRDefault="00D565AC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D565AC">
        <w:rPr>
          <w:rFonts w:asciiTheme="minorBidi" w:hAnsiTheme="minorBidi"/>
          <w:b/>
          <w:bCs/>
          <w:sz w:val="24"/>
          <w:szCs w:val="24"/>
        </w:rPr>
        <w:t>Causes</w:t>
      </w:r>
    </w:p>
    <w:p w:rsidR="00D565AC" w:rsidRDefault="00D565AC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1- Adrenal neoplasm                        2- </w:t>
      </w:r>
      <w:r w:rsidR="00155FC4" w:rsidRPr="00155FC4">
        <w:rPr>
          <w:rFonts w:asciiTheme="minorBidi" w:hAnsiTheme="minorBidi"/>
          <w:sz w:val="24"/>
          <w:szCs w:val="24"/>
        </w:rPr>
        <w:t>ectopi</w:t>
      </w:r>
      <w:r>
        <w:rPr>
          <w:rFonts w:asciiTheme="minorBidi" w:hAnsiTheme="minorBidi"/>
          <w:sz w:val="24"/>
          <w:szCs w:val="24"/>
        </w:rPr>
        <w:t>c ACTH secretion (lung cancer)</w:t>
      </w:r>
    </w:p>
    <w:p w:rsidR="00155FC4" w:rsidRPr="00155FC4" w:rsidRDefault="00D565AC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3- pituitary tumor                              4- </w:t>
      </w:r>
      <w:r w:rsidR="00155FC4" w:rsidRPr="00155FC4">
        <w:rPr>
          <w:rFonts w:asciiTheme="minorBidi" w:hAnsiTheme="minorBidi"/>
          <w:sz w:val="24"/>
          <w:szCs w:val="24"/>
        </w:rPr>
        <w:t xml:space="preserve">steroid therapy </w:t>
      </w:r>
    </w:p>
    <w:p w:rsidR="000C5810" w:rsidRPr="000C5810" w:rsidRDefault="000C5810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0C5810">
        <w:rPr>
          <w:rFonts w:asciiTheme="minorBidi" w:hAnsiTheme="minorBidi"/>
          <w:b/>
          <w:bCs/>
          <w:sz w:val="24"/>
          <w:szCs w:val="24"/>
        </w:rPr>
        <w:t>Clinical features</w:t>
      </w:r>
      <w:r w:rsidR="00155FC4" w:rsidRPr="000C5810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155FC4" w:rsidRPr="00155FC4" w:rsidRDefault="00155FC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155FC4">
        <w:rPr>
          <w:rFonts w:asciiTheme="minorBidi" w:hAnsiTheme="minorBidi"/>
          <w:sz w:val="24"/>
          <w:szCs w:val="24"/>
        </w:rPr>
        <w:t>weight gain, hypertension, facial plethora, “moon face”, truncal obesity,</w:t>
      </w:r>
      <w:r w:rsidR="000C5810">
        <w:rPr>
          <w:rFonts w:asciiTheme="minorBidi" w:hAnsiTheme="minorBidi"/>
          <w:sz w:val="24"/>
          <w:szCs w:val="24"/>
        </w:rPr>
        <w:t xml:space="preserve"> </w:t>
      </w:r>
      <w:r w:rsidRPr="00155FC4">
        <w:rPr>
          <w:rFonts w:asciiTheme="minorBidi" w:hAnsiTheme="minorBidi"/>
          <w:sz w:val="24"/>
          <w:szCs w:val="24"/>
        </w:rPr>
        <w:t>buffalo’s hump, thin limbs, easy bruising, purple striae, DM, proximal muscle weakness,</w:t>
      </w:r>
      <w:r w:rsidR="000C5810">
        <w:rPr>
          <w:rFonts w:asciiTheme="minorBidi" w:hAnsiTheme="minorBidi"/>
          <w:sz w:val="24"/>
          <w:szCs w:val="24"/>
        </w:rPr>
        <w:t xml:space="preserve"> </w:t>
      </w:r>
      <w:r w:rsidRPr="00155FC4">
        <w:rPr>
          <w:rFonts w:asciiTheme="minorBidi" w:hAnsiTheme="minorBidi"/>
          <w:sz w:val="24"/>
          <w:szCs w:val="24"/>
        </w:rPr>
        <w:t>hirsutism, acne, emotional liability, osteoporosis, growth retardation, and</w:t>
      </w:r>
      <w:r w:rsidR="000C5810">
        <w:rPr>
          <w:rFonts w:asciiTheme="minorBidi" w:hAnsiTheme="minorBidi"/>
          <w:sz w:val="24"/>
          <w:szCs w:val="24"/>
        </w:rPr>
        <w:t xml:space="preserve"> </w:t>
      </w:r>
      <w:r w:rsidRPr="00155FC4">
        <w:rPr>
          <w:rFonts w:asciiTheme="minorBidi" w:hAnsiTheme="minorBidi"/>
          <w:sz w:val="24"/>
          <w:szCs w:val="24"/>
        </w:rPr>
        <w:t>hyperpigmentation (hyperpigmentation occurs in Cushing’s disease only).</w:t>
      </w:r>
    </w:p>
    <w:p w:rsidR="00155FC4" w:rsidRPr="000C5810" w:rsidRDefault="000C5810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0C5810">
        <w:rPr>
          <w:rFonts w:asciiTheme="minorBidi" w:hAnsiTheme="minorBidi"/>
          <w:b/>
          <w:bCs/>
          <w:sz w:val="24"/>
          <w:szCs w:val="24"/>
        </w:rPr>
        <w:t>Investigation</w:t>
      </w:r>
    </w:p>
    <w:p w:rsidR="00155FC4" w:rsidRPr="00155FC4" w:rsidRDefault="00155FC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155FC4">
        <w:rPr>
          <w:rFonts w:asciiTheme="minorBidi" w:hAnsiTheme="minorBidi"/>
          <w:sz w:val="24"/>
          <w:szCs w:val="24"/>
        </w:rPr>
        <w:t>Increased plasma and urinary cortisol.</w:t>
      </w:r>
    </w:p>
    <w:p w:rsidR="00155FC4" w:rsidRPr="00155FC4" w:rsidRDefault="00155FC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155FC4">
        <w:rPr>
          <w:rFonts w:asciiTheme="minorBidi" w:hAnsiTheme="minorBidi"/>
          <w:sz w:val="24"/>
          <w:szCs w:val="24"/>
        </w:rPr>
        <w:t>High ACTH in Cushing’s disease and low in Cushing’s syndrome</w:t>
      </w:r>
    </w:p>
    <w:p w:rsidR="00155FC4" w:rsidRDefault="00155FC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155FC4">
        <w:rPr>
          <w:rFonts w:asciiTheme="minorBidi" w:hAnsiTheme="minorBidi"/>
          <w:sz w:val="24"/>
          <w:szCs w:val="24"/>
        </w:rPr>
        <w:t>Dexamethasone suppression test to distinguish between causes of high ACTH.</w:t>
      </w:r>
    </w:p>
    <w:p w:rsidR="00A222AA" w:rsidRPr="00A222AA" w:rsidRDefault="00A222A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222AA">
        <w:rPr>
          <w:rFonts w:asciiTheme="minorBidi" w:hAnsiTheme="minorBidi"/>
          <w:sz w:val="24"/>
          <w:szCs w:val="24"/>
        </w:rPr>
        <w:t>Radiology: CT and MRI are useful to exclude tumors.</w:t>
      </w:r>
    </w:p>
    <w:p w:rsidR="00DC2B8C" w:rsidRDefault="00DC2B8C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8A34EC" w:rsidRDefault="008A34EC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A222AA" w:rsidRPr="00A222AA" w:rsidRDefault="00A222A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A222AA">
        <w:rPr>
          <w:rFonts w:asciiTheme="minorBidi" w:hAnsiTheme="minorBidi"/>
          <w:b/>
          <w:bCs/>
          <w:sz w:val="24"/>
          <w:szCs w:val="24"/>
        </w:rPr>
        <w:t>Treatment</w:t>
      </w:r>
    </w:p>
    <w:p w:rsidR="00A222AA" w:rsidRPr="00A222AA" w:rsidRDefault="00A222A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222AA">
        <w:rPr>
          <w:rFonts w:asciiTheme="minorBidi" w:hAnsiTheme="minorBidi"/>
          <w:sz w:val="24"/>
          <w:szCs w:val="24"/>
        </w:rPr>
        <w:t>Surgical resection or radiotherapy of hormone secreting tumors.</w:t>
      </w:r>
    </w:p>
    <w:p w:rsidR="00A222AA" w:rsidRPr="00A222AA" w:rsidRDefault="00A222A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222AA">
        <w:rPr>
          <w:rFonts w:asciiTheme="minorBidi" w:hAnsiTheme="minorBidi"/>
          <w:sz w:val="24"/>
          <w:szCs w:val="24"/>
        </w:rPr>
        <w:t>Minimize exogenous steroids</w:t>
      </w:r>
    </w:p>
    <w:p w:rsidR="00A222AA" w:rsidRPr="00A222AA" w:rsidRDefault="00A222A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The patient must carry </w:t>
      </w:r>
      <w:r w:rsidR="005027C0">
        <w:rPr>
          <w:rFonts w:asciiTheme="minorBidi" w:hAnsiTheme="minorBidi"/>
          <w:sz w:val="24"/>
          <w:szCs w:val="24"/>
        </w:rPr>
        <w:t>war</w:t>
      </w:r>
      <w:r w:rsidR="005027C0" w:rsidRPr="00A222AA">
        <w:rPr>
          <w:rFonts w:asciiTheme="minorBidi" w:hAnsiTheme="minorBidi"/>
          <w:sz w:val="24"/>
          <w:szCs w:val="24"/>
        </w:rPr>
        <w:t>ning</w:t>
      </w:r>
      <w:r w:rsidRPr="00A222AA">
        <w:rPr>
          <w:rFonts w:asciiTheme="minorBidi" w:hAnsiTheme="minorBidi"/>
          <w:sz w:val="24"/>
          <w:szCs w:val="24"/>
        </w:rPr>
        <w:t xml:space="preserve"> card and told about the dangers of withdrawal and about</w:t>
      </w:r>
      <w:r>
        <w:rPr>
          <w:rFonts w:asciiTheme="minorBidi" w:hAnsiTheme="minorBidi"/>
          <w:sz w:val="24"/>
          <w:szCs w:val="24"/>
        </w:rPr>
        <w:t xml:space="preserve"> side effects. </w:t>
      </w:r>
    </w:p>
    <w:p w:rsidR="00A222AA" w:rsidRPr="00A222AA" w:rsidRDefault="00A222A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A222AA">
        <w:rPr>
          <w:rFonts w:asciiTheme="minorBidi" w:hAnsiTheme="minorBidi"/>
          <w:b/>
          <w:bCs/>
          <w:sz w:val="24"/>
          <w:szCs w:val="24"/>
        </w:rPr>
        <w:t>Dental aspect</w:t>
      </w:r>
    </w:p>
    <w:p w:rsidR="00CA085D" w:rsidRDefault="00CA085D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The complication of long-term use of systemic </w:t>
      </w:r>
      <w:r w:rsidRPr="00CA085D">
        <w:rPr>
          <w:rFonts w:asciiTheme="minorBidi" w:hAnsiTheme="minorBidi"/>
          <w:sz w:val="24"/>
          <w:szCs w:val="24"/>
        </w:rPr>
        <w:t>corticosteroids</w:t>
      </w:r>
      <w:r>
        <w:rPr>
          <w:rFonts w:asciiTheme="minorBidi" w:hAnsiTheme="minorBidi"/>
          <w:sz w:val="24"/>
          <w:szCs w:val="24"/>
        </w:rPr>
        <w:t xml:space="preserve"> should always be kept in mind </w:t>
      </w:r>
      <w:r w:rsidR="000404E9">
        <w:rPr>
          <w:rFonts w:asciiTheme="minorBidi" w:hAnsiTheme="minorBidi"/>
          <w:sz w:val="24"/>
          <w:szCs w:val="24"/>
        </w:rPr>
        <w:t>during dental treatment, these include:</w:t>
      </w:r>
    </w:p>
    <w:p w:rsidR="00A222AA" w:rsidRPr="00A222AA" w:rsidRDefault="000404E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A222AA" w:rsidRPr="00A222AA">
        <w:rPr>
          <w:rFonts w:asciiTheme="minorBidi" w:hAnsiTheme="minorBidi"/>
          <w:sz w:val="24"/>
          <w:szCs w:val="24"/>
        </w:rPr>
        <w:t>DM</w:t>
      </w:r>
      <w:r>
        <w:rPr>
          <w:rFonts w:asciiTheme="minorBidi" w:hAnsiTheme="minorBidi"/>
          <w:sz w:val="24"/>
          <w:szCs w:val="24"/>
        </w:rPr>
        <w:t xml:space="preserve">                           - psychosis         - vertebral collapse          - activation of latent TB</w:t>
      </w:r>
    </w:p>
    <w:p w:rsidR="000404E9" w:rsidRDefault="000404E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osteoporosis            - hypertension     - </w:t>
      </w:r>
      <w:r w:rsidR="00A222AA" w:rsidRPr="00A222AA">
        <w:rPr>
          <w:rFonts w:asciiTheme="minorBidi" w:hAnsiTheme="minorBidi"/>
          <w:sz w:val="24"/>
          <w:szCs w:val="24"/>
        </w:rPr>
        <w:t>pepti</w:t>
      </w:r>
      <w:r>
        <w:rPr>
          <w:rFonts w:asciiTheme="minorBidi" w:hAnsiTheme="minorBidi"/>
          <w:sz w:val="24"/>
          <w:szCs w:val="24"/>
        </w:rPr>
        <w:t xml:space="preserve">c ulceration           - immunosuppression </w:t>
      </w:r>
    </w:p>
    <w:p w:rsidR="00A222AA" w:rsidRPr="00A222AA" w:rsidRDefault="000404E9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 wound infections</w:t>
      </w:r>
      <w:r w:rsidR="002769C2">
        <w:rPr>
          <w:rFonts w:asciiTheme="minorBidi" w:hAnsiTheme="minorBidi"/>
          <w:sz w:val="24"/>
          <w:szCs w:val="24"/>
        </w:rPr>
        <w:t xml:space="preserve">     - </w:t>
      </w:r>
      <w:r w:rsidR="00A222AA" w:rsidRPr="00A222AA">
        <w:rPr>
          <w:rFonts w:asciiTheme="minorBidi" w:hAnsiTheme="minorBidi"/>
          <w:sz w:val="24"/>
          <w:szCs w:val="24"/>
        </w:rPr>
        <w:t>poor wound healing</w:t>
      </w:r>
    </w:p>
    <w:p w:rsidR="00C16935" w:rsidRPr="00A222AA" w:rsidRDefault="00C16935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</w:t>
      </w:r>
      <w:r w:rsidR="00A222AA" w:rsidRPr="00A222AA">
        <w:rPr>
          <w:rFonts w:asciiTheme="minorBidi" w:hAnsiTheme="minorBidi"/>
          <w:sz w:val="24"/>
          <w:szCs w:val="24"/>
        </w:rPr>
        <w:t>cute adrenal</w:t>
      </w:r>
      <w:r>
        <w:rPr>
          <w:rFonts w:asciiTheme="minorBidi" w:hAnsiTheme="minorBidi"/>
          <w:sz w:val="24"/>
          <w:szCs w:val="24"/>
        </w:rPr>
        <w:t xml:space="preserve"> </w:t>
      </w:r>
      <w:r w:rsidR="00A222AA" w:rsidRPr="00A222AA">
        <w:rPr>
          <w:rFonts w:asciiTheme="minorBidi" w:hAnsiTheme="minorBidi"/>
          <w:sz w:val="24"/>
          <w:szCs w:val="24"/>
        </w:rPr>
        <w:t xml:space="preserve">insufficiency crisis </w:t>
      </w:r>
      <w:r>
        <w:rPr>
          <w:rFonts w:asciiTheme="minorBidi" w:hAnsiTheme="minorBidi"/>
          <w:sz w:val="24"/>
          <w:szCs w:val="24"/>
        </w:rPr>
        <w:t>can be precipitated by any significant trauma.</w:t>
      </w:r>
    </w:p>
    <w:p w:rsidR="00A222AA" w:rsidRPr="00A222AA" w:rsidRDefault="00A222A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222AA">
        <w:rPr>
          <w:rFonts w:asciiTheme="minorBidi" w:hAnsiTheme="minorBidi"/>
          <w:sz w:val="24"/>
          <w:szCs w:val="24"/>
        </w:rPr>
        <w:t>Long-term profound immunosuppression may lead to oral complications like: hairy</w:t>
      </w:r>
      <w:r w:rsidR="00C16935">
        <w:rPr>
          <w:rFonts w:asciiTheme="minorBidi" w:hAnsiTheme="minorBidi"/>
          <w:sz w:val="24"/>
          <w:szCs w:val="24"/>
        </w:rPr>
        <w:t xml:space="preserve"> </w:t>
      </w:r>
      <w:r w:rsidRPr="00A222AA">
        <w:rPr>
          <w:rFonts w:asciiTheme="minorBidi" w:hAnsiTheme="minorBidi"/>
          <w:sz w:val="24"/>
          <w:szCs w:val="24"/>
        </w:rPr>
        <w:t>leukoplakia, Kaposi sarcoma, lymphomas, lip cancer, and oral keratosis.</w:t>
      </w:r>
    </w:p>
    <w:p w:rsidR="00A222AA" w:rsidRPr="00A222AA" w:rsidRDefault="00A222A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222AA">
        <w:rPr>
          <w:rFonts w:asciiTheme="minorBidi" w:hAnsiTheme="minorBidi"/>
          <w:sz w:val="24"/>
          <w:szCs w:val="24"/>
        </w:rPr>
        <w:t>Monitor blood pressure before, during, and after surgery and intravenous hydrocortisone</w:t>
      </w:r>
      <w:r w:rsidR="00C16935">
        <w:rPr>
          <w:rFonts w:asciiTheme="minorBidi" w:hAnsiTheme="minorBidi"/>
          <w:sz w:val="24"/>
          <w:szCs w:val="24"/>
        </w:rPr>
        <w:t xml:space="preserve"> </w:t>
      </w:r>
      <w:r w:rsidRPr="00A222AA">
        <w:rPr>
          <w:rFonts w:asciiTheme="minorBidi" w:hAnsiTheme="minorBidi"/>
          <w:sz w:val="24"/>
          <w:szCs w:val="24"/>
        </w:rPr>
        <w:t>must be immediately available for use if the blood pressure falls or the patient collapses.</w:t>
      </w:r>
    </w:p>
    <w:p w:rsidR="00A222AA" w:rsidRPr="00A222AA" w:rsidRDefault="00A222A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222AA">
        <w:rPr>
          <w:rFonts w:asciiTheme="minorBidi" w:hAnsiTheme="minorBidi"/>
          <w:sz w:val="24"/>
          <w:szCs w:val="24"/>
        </w:rPr>
        <w:t>Susceptibility to infection predisposes the patient to HSV and HZV which could be</w:t>
      </w:r>
      <w:r w:rsidR="00C16935">
        <w:rPr>
          <w:rFonts w:asciiTheme="minorBidi" w:hAnsiTheme="minorBidi"/>
          <w:sz w:val="24"/>
          <w:szCs w:val="24"/>
        </w:rPr>
        <w:t xml:space="preserve"> </w:t>
      </w:r>
      <w:r w:rsidRPr="00A222AA">
        <w:rPr>
          <w:rFonts w:asciiTheme="minorBidi" w:hAnsiTheme="minorBidi"/>
          <w:sz w:val="24"/>
          <w:szCs w:val="24"/>
        </w:rPr>
        <w:t>fulminant disease, so passive immunization with immunoglobulin against varicella zoster is</w:t>
      </w:r>
      <w:r w:rsidR="00C16935">
        <w:rPr>
          <w:rFonts w:asciiTheme="minorBidi" w:hAnsiTheme="minorBidi"/>
          <w:sz w:val="24"/>
          <w:szCs w:val="24"/>
        </w:rPr>
        <w:t xml:space="preserve"> </w:t>
      </w:r>
      <w:r w:rsidRPr="00A222AA">
        <w:rPr>
          <w:rFonts w:asciiTheme="minorBidi" w:hAnsiTheme="minorBidi"/>
          <w:sz w:val="24"/>
          <w:szCs w:val="24"/>
        </w:rPr>
        <w:t>indicated within 3 days of exposure to chickenpox or zoster.</w:t>
      </w:r>
    </w:p>
    <w:p w:rsidR="00A222AA" w:rsidRPr="00A222AA" w:rsidRDefault="00A222A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222AA">
        <w:rPr>
          <w:rFonts w:asciiTheme="minorBidi" w:hAnsiTheme="minorBidi"/>
          <w:sz w:val="24"/>
          <w:szCs w:val="24"/>
        </w:rPr>
        <w:t>Careful aseptic surgery and prophylactic antimicrobials may be indicated.</w:t>
      </w:r>
    </w:p>
    <w:p w:rsidR="00A222AA" w:rsidRDefault="00A222AA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222AA">
        <w:rPr>
          <w:rFonts w:asciiTheme="minorBidi" w:hAnsiTheme="minorBidi"/>
          <w:sz w:val="24"/>
          <w:szCs w:val="24"/>
        </w:rPr>
        <w:t>Avoid aspirin and NSAIDs</w:t>
      </w:r>
      <w:r w:rsidR="002710F6">
        <w:rPr>
          <w:rFonts w:asciiTheme="minorBidi" w:hAnsiTheme="minorBidi"/>
          <w:sz w:val="24"/>
          <w:szCs w:val="24"/>
        </w:rPr>
        <w:t>.</w:t>
      </w:r>
    </w:p>
    <w:p w:rsidR="002710F6" w:rsidRDefault="002710F6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2710F6" w:rsidRDefault="002710F6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The r</w:t>
      </w:r>
      <w:r w:rsidRPr="002710F6">
        <w:rPr>
          <w:rFonts w:asciiTheme="minorBidi" w:hAnsiTheme="minorBidi"/>
          <w:b/>
          <w:bCs/>
          <w:sz w:val="24"/>
          <w:szCs w:val="24"/>
        </w:rPr>
        <w:t>ecommended Steroid cover for dental patients on long-term steroid medication:</w:t>
      </w:r>
    </w:p>
    <w:p w:rsidR="002710F6" w:rsidRDefault="002710F6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7010"/>
      </w:tblGrid>
      <w:tr w:rsidR="002710F6" w:rsidTr="00065559">
        <w:trPr>
          <w:trHeight w:val="387"/>
        </w:trPr>
        <w:tc>
          <w:tcPr>
            <w:tcW w:w="3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710F6" w:rsidRDefault="002710F6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Dental procedure</w:t>
            </w:r>
          </w:p>
        </w:tc>
        <w:tc>
          <w:tcPr>
            <w:tcW w:w="7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710F6" w:rsidRDefault="002710F6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Steroid supplement</w:t>
            </w:r>
          </w:p>
        </w:tc>
      </w:tr>
      <w:tr w:rsidR="002710F6" w:rsidTr="00065559">
        <w:trPr>
          <w:trHeight w:val="387"/>
        </w:trPr>
        <w:tc>
          <w:tcPr>
            <w:tcW w:w="3400" w:type="dxa"/>
            <w:tcBorders>
              <w:top w:val="double" w:sz="4" w:space="0" w:color="auto"/>
            </w:tcBorders>
          </w:tcPr>
          <w:p w:rsidR="002710F6" w:rsidRPr="002710F6" w:rsidRDefault="002710F6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2710F6">
              <w:rPr>
                <w:rFonts w:asciiTheme="minorBidi" w:hAnsiTheme="minorBidi"/>
                <w:sz w:val="24"/>
                <w:szCs w:val="24"/>
              </w:rPr>
              <w:t xml:space="preserve">Dental care </w:t>
            </w:r>
          </w:p>
        </w:tc>
        <w:tc>
          <w:tcPr>
            <w:tcW w:w="7010" w:type="dxa"/>
            <w:tcBorders>
              <w:top w:val="double" w:sz="4" w:space="0" w:color="auto"/>
            </w:tcBorders>
          </w:tcPr>
          <w:p w:rsidR="002710F6" w:rsidRPr="002710F6" w:rsidRDefault="002710F6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2710F6">
              <w:rPr>
                <w:rFonts w:asciiTheme="minorBidi" w:hAnsiTheme="minorBidi"/>
                <w:sz w:val="24"/>
                <w:szCs w:val="24"/>
              </w:rPr>
              <w:t>No supplement steroid and continue regular steroid dose</w:t>
            </w:r>
          </w:p>
        </w:tc>
      </w:tr>
      <w:tr w:rsidR="002710F6" w:rsidTr="00065559">
        <w:trPr>
          <w:trHeight w:val="796"/>
        </w:trPr>
        <w:tc>
          <w:tcPr>
            <w:tcW w:w="3400" w:type="dxa"/>
          </w:tcPr>
          <w:p w:rsidR="002710F6" w:rsidRPr="002710F6" w:rsidRDefault="002710F6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2710F6">
              <w:rPr>
                <w:rFonts w:asciiTheme="minorBidi" w:hAnsiTheme="minorBidi"/>
                <w:sz w:val="24"/>
                <w:szCs w:val="24"/>
              </w:rPr>
              <w:t>Minor surgery under LA</w:t>
            </w:r>
          </w:p>
        </w:tc>
        <w:tc>
          <w:tcPr>
            <w:tcW w:w="7010" w:type="dxa"/>
          </w:tcPr>
          <w:p w:rsidR="002710F6" w:rsidRPr="002710F6" w:rsidRDefault="002710F6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2710F6">
              <w:rPr>
                <w:rFonts w:asciiTheme="minorBidi" w:hAnsiTheme="minorBidi"/>
                <w:sz w:val="24"/>
                <w:szCs w:val="24"/>
              </w:rPr>
              <w:t>50 mg hydrocortisone 1 hour pre-operatively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710F6">
              <w:rPr>
                <w:rFonts w:asciiTheme="minorBidi" w:hAnsiTheme="minorBidi"/>
                <w:sz w:val="24"/>
                <w:szCs w:val="24"/>
              </w:rPr>
              <w:t>follow</w:t>
            </w:r>
            <w:r>
              <w:rPr>
                <w:rFonts w:asciiTheme="minorBidi" w:hAnsiTheme="minorBidi"/>
                <w:sz w:val="24"/>
                <w:szCs w:val="24"/>
              </w:rPr>
              <w:t>ed post-operatively by continuing on the</w:t>
            </w:r>
            <w:r w:rsidRPr="002710F6">
              <w:rPr>
                <w:rFonts w:asciiTheme="minorBidi" w:hAnsiTheme="minorBidi"/>
                <w:sz w:val="24"/>
                <w:szCs w:val="24"/>
              </w:rPr>
              <w:t xml:space="preserve"> regular dose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</w:p>
        </w:tc>
      </w:tr>
      <w:tr w:rsidR="002710F6" w:rsidTr="00065559">
        <w:trPr>
          <w:trHeight w:val="1957"/>
        </w:trPr>
        <w:tc>
          <w:tcPr>
            <w:tcW w:w="3400" w:type="dxa"/>
          </w:tcPr>
          <w:p w:rsidR="002710F6" w:rsidRPr="002710F6" w:rsidRDefault="002710F6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2710F6">
              <w:rPr>
                <w:rFonts w:asciiTheme="minorBidi" w:hAnsiTheme="minorBidi"/>
                <w:sz w:val="24"/>
                <w:szCs w:val="24"/>
              </w:rPr>
              <w:t>Major surgery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710F6">
              <w:rPr>
                <w:rFonts w:asciiTheme="minorBidi" w:hAnsiTheme="minorBidi"/>
                <w:sz w:val="24"/>
                <w:szCs w:val="24"/>
              </w:rPr>
              <w:t>under GA</w:t>
            </w:r>
          </w:p>
        </w:tc>
        <w:tc>
          <w:tcPr>
            <w:tcW w:w="7010" w:type="dxa"/>
          </w:tcPr>
          <w:p w:rsidR="002710F6" w:rsidRDefault="002710F6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2710F6">
              <w:rPr>
                <w:rFonts w:asciiTheme="minorBidi" w:hAnsiTheme="minorBidi"/>
                <w:sz w:val="24"/>
                <w:szCs w:val="24"/>
              </w:rPr>
              <w:t>Physician consultation.</w:t>
            </w:r>
          </w:p>
          <w:p w:rsidR="002710F6" w:rsidRDefault="002710F6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2710F6">
              <w:rPr>
                <w:rFonts w:asciiTheme="minorBidi" w:hAnsiTheme="minorBidi"/>
                <w:sz w:val="24"/>
                <w:szCs w:val="24"/>
              </w:rPr>
              <w:t>Schedule the patient operation in the morning.</w:t>
            </w:r>
          </w:p>
          <w:p w:rsidR="002710F6" w:rsidRPr="002710F6" w:rsidRDefault="002710F6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2710F6">
              <w:rPr>
                <w:rFonts w:asciiTheme="minorBidi" w:hAnsiTheme="minorBidi"/>
                <w:sz w:val="24"/>
                <w:szCs w:val="24"/>
              </w:rPr>
              <w:t>100 mg hydrocortisone injection 1 hour pre-operatively and every 6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hours post-operatively for 1-</w:t>
            </w:r>
            <w:r w:rsidRPr="002710F6">
              <w:rPr>
                <w:rFonts w:asciiTheme="minorBidi" w:hAnsiTheme="minorBidi"/>
                <w:sz w:val="24"/>
                <w:szCs w:val="24"/>
              </w:rPr>
              <w:t>3 days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2710F6" w:rsidRPr="002710F6" w:rsidRDefault="002710F6" w:rsidP="00E2777F">
            <w:pPr>
              <w:tabs>
                <w:tab w:val="left" w:pos="6195"/>
              </w:tabs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2710F6">
              <w:rPr>
                <w:rFonts w:asciiTheme="minorBidi" w:hAnsiTheme="minorBidi"/>
                <w:sz w:val="24"/>
                <w:szCs w:val="24"/>
              </w:rPr>
              <w:t>Then return to regular dose</w:t>
            </w:r>
          </w:p>
        </w:tc>
      </w:tr>
    </w:tbl>
    <w:p w:rsidR="002710F6" w:rsidRPr="002710F6" w:rsidRDefault="002710F6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2710F6">
        <w:rPr>
          <w:rFonts w:asciiTheme="minorBidi" w:hAnsiTheme="minorBidi"/>
          <w:b/>
          <w:bCs/>
          <w:sz w:val="24"/>
          <w:szCs w:val="24"/>
        </w:rPr>
        <w:t> </w:t>
      </w:r>
    </w:p>
    <w:p w:rsidR="003D7404" w:rsidRDefault="003D7404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DC2B8C" w:rsidRDefault="00DC2B8C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DC2B8C" w:rsidRDefault="00DC2B8C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DC2B8C" w:rsidRDefault="00DC2B8C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DC2B8C" w:rsidRDefault="00DC2B8C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DC2B8C" w:rsidRDefault="00DC2B8C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DC2B8C" w:rsidRDefault="00DC2B8C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DC2B8C" w:rsidRDefault="00DC2B8C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DC2B8C" w:rsidRDefault="00DC2B8C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DC2B8C" w:rsidRDefault="00DC2B8C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DC2B8C" w:rsidRDefault="00DC2B8C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971A4E" w:rsidRDefault="00CA16D5" w:rsidP="00E2777F">
      <w:pPr>
        <w:tabs>
          <w:tab w:val="left" w:pos="619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It is essential to know the equivalent doses of various types of steroids which are:</w:t>
      </w:r>
    </w:p>
    <w:tbl>
      <w:tblPr>
        <w:tblW w:w="9616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7534"/>
      </w:tblGrid>
      <w:tr w:rsidR="00CA16D5" w:rsidRPr="00CA16D5" w:rsidTr="00CA16D5">
        <w:trPr>
          <w:trHeight w:val="269"/>
        </w:trPr>
        <w:tc>
          <w:tcPr>
            <w:tcW w:w="2082" w:type="dxa"/>
            <w:tcBorders>
              <w:top w:val="nil"/>
              <w:left w:val="single" w:sz="2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Equivalent Dose</w:t>
            </w:r>
          </w:p>
        </w:tc>
        <w:tc>
          <w:tcPr>
            <w:tcW w:w="7534" w:type="dxa"/>
            <w:tcBorders>
              <w:top w:val="nil"/>
              <w:left w:val="single" w:sz="6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27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Steroid</w:t>
            </w:r>
          </w:p>
        </w:tc>
      </w:tr>
      <w:tr w:rsidR="00CA16D5" w:rsidRPr="00CA16D5" w:rsidTr="00CA16D5">
        <w:trPr>
          <w:trHeight w:val="285"/>
        </w:trPr>
        <w:tc>
          <w:tcPr>
            <w:tcW w:w="2082" w:type="dxa"/>
            <w:tcBorders>
              <w:top w:val="nil"/>
              <w:left w:val="single" w:sz="2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1.2 mg</w:t>
            </w:r>
          </w:p>
        </w:tc>
        <w:tc>
          <w:tcPr>
            <w:tcW w:w="7534" w:type="dxa"/>
            <w:tcBorders>
              <w:top w:val="nil"/>
              <w:left w:val="single" w:sz="6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27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Betamethasone (long-acting)</w:t>
            </w:r>
          </w:p>
        </w:tc>
      </w:tr>
      <w:tr w:rsidR="00CA16D5" w:rsidRPr="00CA16D5" w:rsidTr="00CA16D5">
        <w:trPr>
          <w:trHeight w:val="269"/>
        </w:trPr>
        <w:tc>
          <w:tcPr>
            <w:tcW w:w="2082" w:type="dxa"/>
            <w:tcBorders>
              <w:top w:val="nil"/>
              <w:left w:val="single" w:sz="2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1.5 mg</w:t>
            </w:r>
          </w:p>
        </w:tc>
        <w:tc>
          <w:tcPr>
            <w:tcW w:w="7534" w:type="dxa"/>
            <w:tcBorders>
              <w:top w:val="nil"/>
              <w:left w:val="single" w:sz="6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27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Dexamethasone (long-acting)</w:t>
            </w:r>
          </w:p>
        </w:tc>
      </w:tr>
      <w:tr w:rsidR="00CA16D5" w:rsidRPr="00CA16D5" w:rsidTr="00CA16D5">
        <w:trPr>
          <w:trHeight w:val="285"/>
        </w:trPr>
        <w:tc>
          <w:tcPr>
            <w:tcW w:w="2082" w:type="dxa"/>
            <w:tcBorders>
              <w:top w:val="nil"/>
              <w:left w:val="single" w:sz="2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8 mg</w:t>
            </w:r>
          </w:p>
        </w:tc>
        <w:tc>
          <w:tcPr>
            <w:tcW w:w="7534" w:type="dxa"/>
            <w:tcBorders>
              <w:top w:val="nil"/>
              <w:left w:val="single" w:sz="6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27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Methylprednisolone (intermediate-acting)</w:t>
            </w:r>
          </w:p>
        </w:tc>
      </w:tr>
      <w:tr w:rsidR="00CA16D5" w:rsidRPr="00CA16D5" w:rsidTr="00CA16D5">
        <w:trPr>
          <w:trHeight w:val="269"/>
        </w:trPr>
        <w:tc>
          <w:tcPr>
            <w:tcW w:w="2082" w:type="dxa"/>
            <w:tcBorders>
              <w:top w:val="nil"/>
              <w:left w:val="single" w:sz="2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8 mg</w:t>
            </w:r>
          </w:p>
        </w:tc>
        <w:tc>
          <w:tcPr>
            <w:tcW w:w="7534" w:type="dxa"/>
            <w:tcBorders>
              <w:top w:val="nil"/>
              <w:left w:val="single" w:sz="6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27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Triamcinolone (intermediate-acting)</w:t>
            </w:r>
          </w:p>
        </w:tc>
      </w:tr>
      <w:tr w:rsidR="00CA16D5" w:rsidRPr="00CA16D5" w:rsidTr="00CA16D5">
        <w:trPr>
          <w:trHeight w:val="269"/>
        </w:trPr>
        <w:tc>
          <w:tcPr>
            <w:tcW w:w="2082" w:type="dxa"/>
            <w:tcBorders>
              <w:top w:val="nil"/>
              <w:left w:val="single" w:sz="2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10 mg</w:t>
            </w:r>
          </w:p>
        </w:tc>
        <w:tc>
          <w:tcPr>
            <w:tcW w:w="7534" w:type="dxa"/>
            <w:tcBorders>
              <w:top w:val="nil"/>
              <w:left w:val="single" w:sz="6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27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Prednisone (intermediate-acting)</w:t>
            </w:r>
          </w:p>
        </w:tc>
      </w:tr>
      <w:tr w:rsidR="00CA16D5" w:rsidRPr="00CA16D5" w:rsidTr="00CA16D5">
        <w:trPr>
          <w:trHeight w:val="285"/>
        </w:trPr>
        <w:tc>
          <w:tcPr>
            <w:tcW w:w="2082" w:type="dxa"/>
            <w:tcBorders>
              <w:top w:val="nil"/>
              <w:left w:val="single" w:sz="2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10 mg</w:t>
            </w:r>
          </w:p>
        </w:tc>
        <w:tc>
          <w:tcPr>
            <w:tcW w:w="7534" w:type="dxa"/>
            <w:tcBorders>
              <w:top w:val="nil"/>
              <w:left w:val="single" w:sz="6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27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Prednisolone (intermediate-acting)</w:t>
            </w:r>
          </w:p>
        </w:tc>
      </w:tr>
      <w:tr w:rsidR="00CA16D5" w:rsidRPr="00CA16D5" w:rsidTr="00CA16D5">
        <w:trPr>
          <w:trHeight w:val="269"/>
        </w:trPr>
        <w:tc>
          <w:tcPr>
            <w:tcW w:w="2082" w:type="dxa"/>
            <w:tcBorders>
              <w:top w:val="nil"/>
              <w:left w:val="single" w:sz="2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40 mg</w:t>
            </w:r>
          </w:p>
        </w:tc>
        <w:tc>
          <w:tcPr>
            <w:tcW w:w="7534" w:type="dxa"/>
            <w:tcBorders>
              <w:top w:val="nil"/>
              <w:left w:val="single" w:sz="6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27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Hydrocortisone (short-acting)</w:t>
            </w:r>
          </w:p>
        </w:tc>
      </w:tr>
      <w:tr w:rsidR="00CA16D5" w:rsidRPr="00CA16D5" w:rsidTr="00CA16D5">
        <w:trPr>
          <w:trHeight w:val="285"/>
        </w:trPr>
        <w:tc>
          <w:tcPr>
            <w:tcW w:w="2082" w:type="dxa"/>
            <w:tcBorders>
              <w:top w:val="nil"/>
              <w:left w:val="single" w:sz="2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50 mg</w:t>
            </w:r>
          </w:p>
        </w:tc>
        <w:tc>
          <w:tcPr>
            <w:tcW w:w="7534" w:type="dxa"/>
            <w:tcBorders>
              <w:top w:val="nil"/>
              <w:left w:val="single" w:sz="6" w:space="0" w:color="979797"/>
              <w:bottom w:val="single" w:sz="6" w:space="0" w:color="979797"/>
              <w:right w:val="nil"/>
            </w:tcBorders>
            <w:shd w:val="clear" w:color="auto" w:fill="FFFFFF"/>
            <w:tcMar>
              <w:top w:w="210" w:type="dxa"/>
              <w:left w:w="270" w:type="dxa"/>
              <w:bottom w:w="210" w:type="dxa"/>
              <w:right w:w="270" w:type="dxa"/>
            </w:tcMar>
            <w:vAlign w:val="center"/>
            <w:hideMark/>
          </w:tcPr>
          <w:p w:rsidR="00CA16D5" w:rsidRPr="00CA16D5" w:rsidRDefault="00CA16D5" w:rsidP="00E2777F">
            <w:pPr>
              <w:spacing w:after="0" w:line="276" w:lineRule="auto"/>
              <w:jc w:val="both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CA16D5">
              <w:rPr>
                <w:rFonts w:ascii="Berlin Sans FB Demi" w:hAnsi="Berlin Sans FB Demi"/>
                <w:b/>
                <w:bCs/>
                <w:sz w:val="24"/>
                <w:szCs w:val="24"/>
              </w:rPr>
              <w:t>Cortisone (short-acting)</w:t>
            </w:r>
          </w:p>
        </w:tc>
      </w:tr>
    </w:tbl>
    <w:p w:rsidR="00696451" w:rsidRDefault="00696451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295EE4" w:rsidRDefault="00295EE4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A01D90" w:rsidRPr="008B5605" w:rsidRDefault="00A01D90" w:rsidP="00E2777F">
      <w:pPr>
        <w:shd w:val="clear" w:color="auto" w:fill="BFBFBF" w:themeFill="background1" w:themeFillShade="BF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B5605">
        <w:rPr>
          <w:rFonts w:asciiTheme="minorBidi" w:hAnsiTheme="minorBidi"/>
          <w:b/>
          <w:bCs/>
          <w:sz w:val="24"/>
          <w:szCs w:val="24"/>
        </w:rPr>
        <w:t>Rickets and Osteomalacia</w:t>
      </w:r>
    </w:p>
    <w:p w:rsidR="00A01D90" w:rsidRDefault="00A01D90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1D90">
        <w:rPr>
          <w:rFonts w:asciiTheme="minorBidi" w:hAnsiTheme="minorBidi"/>
          <w:sz w:val="24"/>
          <w:szCs w:val="24"/>
        </w:rPr>
        <w:t xml:space="preserve">Rickets is a disease of growing bone that is unique to children and adolescents. It is caused by a failure of osteoid to calcify in a growing person. Failure of osteoid to calcify in adults is called osteomalacia. </w:t>
      </w:r>
    </w:p>
    <w:p w:rsidR="00A01D90" w:rsidRPr="00A01D90" w:rsidRDefault="00A01D90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A01D90">
        <w:rPr>
          <w:rFonts w:asciiTheme="minorBidi" w:hAnsiTheme="minorBidi"/>
          <w:b/>
          <w:bCs/>
          <w:sz w:val="24"/>
          <w:szCs w:val="24"/>
        </w:rPr>
        <w:t>Causes</w:t>
      </w:r>
    </w:p>
    <w:p w:rsidR="00EC29D6" w:rsidRDefault="00EC29D6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1- </w:t>
      </w:r>
      <w:r w:rsidR="00A01D90" w:rsidRPr="00A01D90">
        <w:rPr>
          <w:rFonts w:asciiTheme="minorBidi" w:hAnsiTheme="minorBidi"/>
          <w:sz w:val="24"/>
          <w:szCs w:val="24"/>
        </w:rPr>
        <w:t>dietary deﬁc</w:t>
      </w:r>
      <w:r>
        <w:rPr>
          <w:rFonts w:asciiTheme="minorBidi" w:hAnsiTheme="minorBidi"/>
          <w:sz w:val="24"/>
          <w:szCs w:val="24"/>
        </w:rPr>
        <w:t xml:space="preserve">iency of vitamin D and calcium      </w:t>
      </w:r>
      <w:r w:rsidR="00A85561">
        <w:rPr>
          <w:rFonts w:asciiTheme="minorBidi" w:hAnsiTheme="minorBidi"/>
          <w:sz w:val="24"/>
          <w:szCs w:val="24"/>
        </w:rPr>
        <w:t xml:space="preserve">        </w:t>
      </w:r>
      <w:r>
        <w:rPr>
          <w:rFonts w:asciiTheme="minorBidi" w:hAnsiTheme="minorBidi"/>
          <w:sz w:val="24"/>
          <w:szCs w:val="24"/>
        </w:rPr>
        <w:t>2- malabsorption</w:t>
      </w:r>
    </w:p>
    <w:p w:rsidR="00EC29D6" w:rsidRDefault="00EC29D6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3- </w:t>
      </w:r>
      <w:r w:rsidR="00A01D90" w:rsidRPr="00A01D90">
        <w:rPr>
          <w:rFonts w:asciiTheme="minorBidi" w:hAnsiTheme="minorBidi"/>
          <w:sz w:val="24"/>
          <w:szCs w:val="24"/>
        </w:rPr>
        <w:t>hepatobiliary and</w:t>
      </w:r>
      <w:r>
        <w:rPr>
          <w:rFonts w:asciiTheme="minorBidi" w:hAnsiTheme="minorBidi"/>
          <w:sz w:val="24"/>
          <w:szCs w:val="24"/>
        </w:rPr>
        <w:t xml:space="preserve"> pancreatic diseases          </w:t>
      </w:r>
      <w:r w:rsidR="00A85561">
        <w:rPr>
          <w:rFonts w:asciiTheme="minorBidi" w:hAnsiTheme="minorBidi"/>
          <w:sz w:val="24"/>
          <w:szCs w:val="24"/>
        </w:rPr>
        <w:t xml:space="preserve">            </w:t>
      </w:r>
      <w:r>
        <w:rPr>
          <w:rFonts w:asciiTheme="minorBidi" w:hAnsiTheme="minorBidi"/>
          <w:sz w:val="24"/>
          <w:szCs w:val="24"/>
        </w:rPr>
        <w:t xml:space="preserve">4- </w:t>
      </w:r>
      <w:r w:rsidR="00A01D90" w:rsidRPr="00A01D90">
        <w:rPr>
          <w:rFonts w:asciiTheme="minorBidi" w:hAnsiTheme="minorBidi"/>
          <w:sz w:val="24"/>
          <w:szCs w:val="24"/>
        </w:rPr>
        <w:t xml:space="preserve">renal </w:t>
      </w:r>
      <w:r>
        <w:rPr>
          <w:rFonts w:asciiTheme="minorBidi" w:hAnsiTheme="minorBidi"/>
          <w:sz w:val="24"/>
          <w:szCs w:val="24"/>
        </w:rPr>
        <w:t>failure (renal osteodystrophy)</w:t>
      </w:r>
    </w:p>
    <w:p w:rsidR="00D75BCA" w:rsidRDefault="00A85561" w:rsidP="0049630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5- drugs (phenytoin)                                                      6- </w:t>
      </w:r>
      <w:r w:rsidR="00A01D90" w:rsidRPr="00A01D90">
        <w:rPr>
          <w:rFonts w:asciiTheme="minorBidi" w:hAnsiTheme="minorBidi"/>
          <w:sz w:val="24"/>
          <w:szCs w:val="24"/>
        </w:rPr>
        <w:t>familial</w:t>
      </w:r>
      <w:r>
        <w:rPr>
          <w:rFonts w:asciiTheme="minorBidi" w:hAnsiTheme="minorBidi"/>
          <w:sz w:val="24"/>
          <w:szCs w:val="24"/>
        </w:rPr>
        <w:t xml:space="preserve"> </w:t>
      </w:r>
      <w:r w:rsidR="00496301">
        <w:rPr>
          <w:rFonts w:asciiTheme="minorBidi" w:hAnsiTheme="minorBidi"/>
          <w:sz w:val="24"/>
          <w:szCs w:val="24"/>
        </w:rPr>
        <w:t xml:space="preserve">hypophosphatemia </w:t>
      </w:r>
    </w:p>
    <w:p w:rsidR="00A01D90" w:rsidRPr="00D75BCA" w:rsidRDefault="00D75BCA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Clinical features</w:t>
      </w:r>
    </w:p>
    <w:p w:rsidR="00A01D90" w:rsidRPr="00A01D90" w:rsidRDefault="00A01D90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1D90">
        <w:rPr>
          <w:rFonts w:asciiTheme="minorBidi" w:hAnsiTheme="minorBidi"/>
          <w:sz w:val="24"/>
          <w:szCs w:val="24"/>
        </w:rPr>
        <w:t>Rickets: weak deformed bones (bowing of legs), fragile bones (greenstick fractures), weak</w:t>
      </w:r>
      <w:r w:rsidR="00D75BCA">
        <w:rPr>
          <w:rFonts w:asciiTheme="minorBidi" w:hAnsiTheme="minorBidi"/>
          <w:sz w:val="24"/>
          <w:szCs w:val="24"/>
        </w:rPr>
        <w:t xml:space="preserve"> </w:t>
      </w:r>
      <w:r w:rsidRPr="00A01D90">
        <w:rPr>
          <w:rFonts w:asciiTheme="minorBidi" w:hAnsiTheme="minorBidi"/>
          <w:sz w:val="24"/>
          <w:szCs w:val="24"/>
        </w:rPr>
        <w:t>irritable hypotonic muscles, bone pains, and rachitic rosary (swellings at costochondral</w:t>
      </w:r>
      <w:r w:rsidR="00D75BCA">
        <w:rPr>
          <w:rFonts w:asciiTheme="minorBidi" w:hAnsiTheme="minorBidi"/>
          <w:sz w:val="24"/>
          <w:szCs w:val="24"/>
        </w:rPr>
        <w:t xml:space="preserve"> </w:t>
      </w:r>
      <w:r w:rsidRPr="00A01D90">
        <w:rPr>
          <w:rFonts w:asciiTheme="minorBidi" w:hAnsiTheme="minorBidi"/>
          <w:sz w:val="24"/>
          <w:szCs w:val="24"/>
        </w:rPr>
        <w:t>junctions).</w:t>
      </w:r>
    </w:p>
    <w:p w:rsidR="00A01D90" w:rsidRPr="00A01D90" w:rsidRDefault="00A01D90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1D90">
        <w:rPr>
          <w:rFonts w:asciiTheme="minorBidi" w:hAnsiTheme="minorBidi"/>
          <w:sz w:val="24"/>
          <w:szCs w:val="24"/>
        </w:rPr>
        <w:t>Osteomalacia: persistent bone pain, weakness, difﬁculty in walking (waddling gait),</w:t>
      </w:r>
      <w:r w:rsidR="00D75BCA">
        <w:rPr>
          <w:rFonts w:asciiTheme="minorBidi" w:hAnsiTheme="minorBidi"/>
          <w:sz w:val="24"/>
          <w:szCs w:val="24"/>
        </w:rPr>
        <w:t xml:space="preserve"> thoracic kyphosis.</w:t>
      </w:r>
    </w:p>
    <w:p w:rsidR="00A01D90" w:rsidRPr="005957A3" w:rsidRDefault="00D75BCA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5957A3">
        <w:rPr>
          <w:rFonts w:asciiTheme="minorBidi" w:hAnsiTheme="minorBidi"/>
          <w:b/>
          <w:bCs/>
          <w:sz w:val="24"/>
          <w:szCs w:val="24"/>
        </w:rPr>
        <w:t>Investigation</w:t>
      </w:r>
    </w:p>
    <w:p w:rsidR="00A01D90" w:rsidRPr="00A01D90" w:rsidRDefault="00A01D90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1D90">
        <w:rPr>
          <w:rFonts w:asciiTheme="minorBidi" w:hAnsiTheme="minorBidi"/>
          <w:sz w:val="24"/>
          <w:szCs w:val="24"/>
        </w:rPr>
        <w:t>Skeletal X-ray: diffuse osteopenia, biconcave vertebrae, pseu</w:t>
      </w:r>
      <w:r w:rsidR="005957A3">
        <w:rPr>
          <w:rFonts w:asciiTheme="minorBidi" w:hAnsiTheme="minorBidi"/>
          <w:sz w:val="24"/>
          <w:szCs w:val="24"/>
        </w:rPr>
        <w:t>d</w:t>
      </w:r>
      <w:r w:rsidRPr="00A01D90">
        <w:rPr>
          <w:rFonts w:asciiTheme="minorBidi" w:hAnsiTheme="minorBidi"/>
          <w:sz w:val="24"/>
          <w:szCs w:val="24"/>
        </w:rPr>
        <w:t>ofractures</w:t>
      </w:r>
      <w:r w:rsidR="005957A3">
        <w:rPr>
          <w:rFonts w:asciiTheme="minorBidi" w:hAnsiTheme="minorBidi"/>
          <w:sz w:val="24"/>
          <w:szCs w:val="24"/>
        </w:rPr>
        <w:t>.</w:t>
      </w:r>
      <w:r w:rsidRPr="00A01D90">
        <w:rPr>
          <w:rFonts w:asciiTheme="minorBidi" w:hAnsiTheme="minorBidi"/>
          <w:sz w:val="24"/>
          <w:szCs w:val="24"/>
        </w:rPr>
        <w:t xml:space="preserve"> </w:t>
      </w:r>
    </w:p>
    <w:p w:rsidR="00A01D90" w:rsidRPr="00A01D90" w:rsidRDefault="005957A3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Low serum</w:t>
      </w:r>
      <w:r w:rsidR="00A01D90" w:rsidRPr="00A01D90">
        <w:rPr>
          <w:rFonts w:asciiTheme="minorBidi" w:hAnsiTheme="minorBidi"/>
          <w:sz w:val="24"/>
          <w:szCs w:val="24"/>
        </w:rPr>
        <w:t xml:space="preserve"> calcium, low urinary calcium</w:t>
      </w:r>
    </w:p>
    <w:p w:rsidR="00A01D90" w:rsidRPr="00A01D90" w:rsidRDefault="005957A3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Low - normal serum</w:t>
      </w:r>
      <w:r w:rsidR="00A01D90" w:rsidRPr="00A01D90">
        <w:rPr>
          <w:rFonts w:asciiTheme="minorBidi" w:hAnsiTheme="minorBidi"/>
          <w:sz w:val="24"/>
          <w:szCs w:val="24"/>
        </w:rPr>
        <w:t xml:space="preserve"> phosphate</w:t>
      </w:r>
    </w:p>
    <w:p w:rsidR="00A01D90" w:rsidRPr="00A01D90" w:rsidRDefault="00A01D90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1D90">
        <w:rPr>
          <w:rFonts w:asciiTheme="minorBidi" w:hAnsiTheme="minorBidi"/>
          <w:sz w:val="24"/>
          <w:szCs w:val="24"/>
        </w:rPr>
        <w:t>High alkaline phosphatase</w:t>
      </w:r>
    </w:p>
    <w:p w:rsidR="00A01D90" w:rsidRPr="00A01D90" w:rsidRDefault="00A01D90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1D90">
        <w:rPr>
          <w:rFonts w:asciiTheme="minorBidi" w:hAnsiTheme="minorBidi"/>
          <w:sz w:val="24"/>
          <w:szCs w:val="24"/>
        </w:rPr>
        <w:t>High PTH</w:t>
      </w:r>
    </w:p>
    <w:p w:rsidR="00A01D90" w:rsidRPr="005957A3" w:rsidRDefault="005957A3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5957A3">
        <w:rPr>
          <w:rFonts w:asciiTheme="minorBidi" w:hAnsiTheme="minorBidi"/>
          <w:b/>
          <w:bCs/>
          <w:sz w:val="24"/>
          <w:szCs w:val="24"/>
        </w:rPr>
        <w:t>Treatment</w:t>
      </w:r>
    </w:p>
    <w:p w:rsidR="00A01D90" w:rsidRPr="00A01D90" w:rsidRDefault="00A01D90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1D90">
        <w:rPr>
          <w:rFonts w:asciiTheme="minorBidi" w:hAnsiTheme="minorBidi"/>
          <w:sz w:val="24"/>
          <w:szCs w:val="24"/>
        </w:rPr>
        <w:t>Calcium and vitamin D supplement</w:t>
      </w:r>
    </w:p>
    <w:p w:rsidR="00A01D90" w:rsidRPr="00A01D90" w:rsidRDefault="00A01D90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1D90">
        <w:rPr>
          <w:rFonts w:asciiTheme="minorBidi" w:hAnsiTheme="minorBidi"/>
          <w:sz w:val="24"/>
          <w:szCs w:val="24"/>
        </w:rPr>
        <w:t>Treat underlying cause</w:t>
      </w:r>
    </w:p>
    <w:p w:rsidR="005957A3" w:rsidRDefault="005957A3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A01D90" w:rsidRPr="00CE07A3" w:rsidRDefault="00CE07A3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CE07A3">
        <w:rPr>
          <w:rFonts w:asciiTheme="minorBidi" w:hAnsiTheme="minorBidi"/>
          <w:b/>
          <w:bCs/>
          <w:sz w:val="24"/>
          <w:szCs w:val="24"/>
        </w:rPr>
        <w:t>Dental aspect</w:t>
      </w:r>
    </w:p>
    <w:p w:rsidR="00A01D90" w:rsidRPr="00A01D90" w:rsidRDefault="00CE07A3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Severe form of rickets </w:t>
      </w:r>
      <w:r w:rsidR="00AE0F09">
        <w:rPr>
          <w:rFonts w:asciiTheme="minorBidi" w:hAnsiTheme="minorBidi"/>
          <w:sz w:val="24"/>
          <w:szCs w:val="24"/>
        </w:rPr>
        <w:t>may be associated with or</w:t>
      </w:r>
      <w:r w:rsidR="00A01D90" w:rsidRPr="00A01D90">
        <w:rPr>
          <w:rFonts w:asciiTheme="minorBidi" w:hAnsiTheme="minorBidi"/>
          <w:sz w:val="24"/>
          <w:szCs w:val="24"/>
        </w:rPr>
        <w:t>ofacial features: retarded dental eruption, dental defects in severe cases, and radiolucent</w:t>
      </w:r>
      <w:r w:rsidR="00AE0F09">
        <w:rPr>
          <w:rFonts w:asciiTheme="minorBidi" w:hAnsiTheme="minorBidi"/>
          <w:sz w:val="24"/>
          <w:szCs w:val="24"/>
        </w:rPr>
        <w:t xml:space="preserve"> </w:t>
      </w:r>
      <w:r w:rsidR="00A01D90" w:rsidRPr="00A01D90">
        <w:rPr>
          <w:rFonts w:asciiTheme="minorBidi" w:hAnsiTheme="minorBidi"/>
          <w:sz w:val="24"/>
          <w:szCs w:val="24"/>
        </w:rPr>
        <w:t>jaws</w:t>
      </w:r>
    </w:p>
    <w:p w:rsidR="00A01D90" w:rsidRPr="00A01D90" w:rsidRDefault="00AE0F09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There is no association between</w:t>
      </w:r>
      <w:r w:rsidR="00A01D90" w:rsidRPr="00A01D90">
        <w:rPr>
          <w:rFonts w:asciiTheme="minorBidi" w:hAnsiTheme="minorBidi"/>
          <w:sz w:val="24"/>
          <w:szCs w:val="24"/>
        </w:rPr>
        <w:t xml:space="preserve"> dental caries</w:t>
      </w:r>
      <w:r>
        <w:rPr>
          <w:rFonts w:asciiTheme="minorBidi" w:hAnsiTheme="minorBidi"/>
          <w:sz w:val="24"/>
          <w:szCs w:val="24"/>
        </w:rPr>
        <w:t xml:space="preserve"> and </w:t>
      </w:r>
      <w:r w:rsidR="00C964F3">
        <w:rPr>
          <w:rFonts w:asciiTheme="minorBidi" w:hAnsiTheme="minorBidi"/>
          <w:sz w:val="24"/>
          <w:szCs w:val="24"/>
        </w:rPr>
        <w:t>rickets or o</w:t>
      </w:r>
      <w:r w:rsidR="00C964F3" w:rsidRPr="00C964F3">
        <w:rPr>
          <w:rFonts w:asciiTheme="minorBidi" w:hAnsiTheme="minorBidi"/>
          <w:sz w:val="24"/>
          <w:szCs w:val="24"/>
        </w:rPr>
        <w:t>steomalacia</w:t>
      </w:r>
      <w:r w:rsidR="00C964F3">
        <w:rPr>
          <w:rFonts w:asciiTheme="minorBidi" w:hAnsiTheme="minorBidi"/>
          <w:sz w:val="24"/>
          <w:szCs w:val="24"/>
        </w:rPr>
        <w:t>.</w:t>
      </w:r>
    </w:p>
    <w:p w:rsidR="00A01D90" w:rsidRPr="00A01D90" w:rsidRDefault="00A01D90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1D90">
        <w:rPr>
          <w:rFonts w:asciiTheme="minorBidi" w:hAnsiTheme="minorBidi"/>
          <w:sz w:val="24"/>
          <w:szCs w:val="24"/>
        </w:rPr>
        <w:t>In cases of malabsorption, consider possibly associated vitamin K deﬁciency and related</w:t>
      </w:r>
      <w:r w:rsidR="00954B61">
        <w:rPr>
          <w:rFonts w:asciiTheme="minorBidi" w:hAnsiTheme="minorBidi"/>
          <w:sz w:val="24"/>
          <w:szCs w:val="24"/>
        </w:rPr>
        <w:t xml:space="preserve"> </w:t>
      </w:r>
      <w:r w:rsidRPr="00A01D90">
        <w:rPr>
          <w:rFonts w:asciiTheme="minorBidi" w:hAnsiTheme="minorBidi"/>
          <w:sz w:val="24"/>
          <w:szCs w:val="24"/>
        </w:rPr>
        <w:t>bleeding tendency</w:t>
      </w:r>
    </w:p>
    <w:p w:rsidR="00A01D90" w:rsidRPr="00A01D90" w:rsidRDefault="00A01D90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1D90">
        <w:rPr>
          <w:rFonts w:asciiTheme="minorBidi" w:hAnsiTheme="minorBidi"/>
          <w:sz w:val="24"/>
          <w:szCs w:val="24"/>
        </w:rPr>
        <w:t>In cases with familial hypophosphataemia, the skull sutures are wide with frontal bossing</w:t>
      </w:r>
      <w:r w:rsidR="005F494C">
        <w:rPr>
          <w:rFonts w:asciiTheme="minorBidi" w:hAnsiTheme="minorBidi"/>
          <w:sz w:val="24"/>
          <w:szCs w:val="24"/>
        </w:rPr>
        <w:t xml:space="preserve"> </w:t>
      </w:r>
      <w:r w:rsidRPr="00A01D90">
        <w:rPr>
          <w:rFonts w:asciiTheme="minorBidi" w:hAnsiTheme="minorBidi"/>
          <w:sz w:val="24"/>
          <w:szCs w:val="24"/>
        </w:rPr>
        <w:t>and the teeth have large pulp chambers with abnormal dentine calciﬁcation, and are liable to</w:t>
      </w:r>
      <w:r w:rsidR="005F494C">
        <w:rPr>
          <w:rFonts w:asciiTheme="minorBidi" w:hAnsiTheme="minorBidi"/>
          <w:sz w:val="24"/>
          <w:szCs w:val="24"/>
        </w:rPr>
        <w:t xml:space="preserve"> </w:t>
      </w:r>
      <w:r w:rsidRPr="00A01D90">
        <w:rPr>
          <w:rFonts w:asciiTheme="minorBidi" w:hAnsiTheme="minorBidi"/>
          <w:sz w:val="24"/>
          <w:szCs w:val="24"/>
        </w:rPr>
        <w:t>pulpitis and multiple dental abscesses due to minimal caries or attrition, so preventive care</w:t>
      </w:r>
      <w:r w:rsidR="005F494C">
        <w:rPr>
          <w:rFonts w:asciiTheme="minorBidi" w:hAnsiTheme="minorBidi"/>
          <w:sz w:val="24"/>
          <w:szCs w:val="24"/>
        </w:rPr>
        <w:t xml:space="preserve"> </w:t>
      </w:r>
      <w:r w:rsidRPr="00A01D90">
        <w:rPr>
          <w:rFonts w:asciiTheme="minorBidi" w:hAnsiTheme="minorBidi"/>
          <w:sz w:val="24"/>
          <w:szCs w:val="24"/>
        </w:rPr>
        <w:t>with ﬁssure sealing or prophylactic occlusal coverage are needed.</w:t>
      </w:r>
    </w:p>
    <w:p w:rsidR="00263FF9" w:rsidRDefault="00263FF9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263FF9" w:rsidRDefault="00263FF9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A01D90" w:rsidRPr="008B5605" w:rsidRDefault="00A01D90" w:rsidP="00E2777F">
      <w:pPr>
        <w:shd w:val="clear" w:color="auto" w:fill="BFBFBF" w:themeFill="background1" w:themeFillShade="BF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B5605">
        <w:rPr>
          <w:rFonts w:asciiTheme="minorBidi" w:hAnsiTheme="minorBidi"/>
          <w:b/>
          <w:bCs/>
          <w:sz w:val="24"/>
          <w:szCs w:val="24"/>
        </w:rPr>
        <w:t>Osteoporosis</w:t>
      </w:r>
    </w:p>
    <w:p w:rsidR="00A01D90" w:rsidRPr="00A01D90" w:rsidRDefault="00A01D90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1D90">
        <w:rPr>
          <w:rFonts w:asciiTheme="minorBidi" w:hAnsiTheme="minorBidi"/>
          <w:sz w:val="24"/>
          <w:szCs w:val="24"/>
        </w:rPr>
        <w:t>Metabolic bone disease characterized by reduced bone mass with normal mineralization</w:t>
      </w:r>
      <w:r w:rsidR="00486055">
        <w:rPr>
          <w:rFonts w:asciiTheme="minorBidi" w:hAnsiTheme="minorBidi"/>
          <w:sz w:val="24"/>
          <w:szCs w:val="24"/>
        </w:rPr>
        <w:t xml:space="preserve"> </w:t>
      </w:r>
      <w:r w:rsidRPr="00A01D90">
        <w:rPr>
          <w:rFonts w:asciiTheme="minorBidi" w:hAnsiTheme="minorBidi"/>
          <w:sz w:val="24"/>
          <w:szCs w:val="24"/>
        </w:rPr>
        <w:t>leading to increased bone fragility (fractures of femoral neck, distal radius and humerus).</w:t>
      </w:r>
    </w:p>
    <w:p w:rsidR="00486055" w:rsidRPr="00486055" w:rsidRDefault="00486055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486055">
        <w:rPr>
          <w:rFonts w:asciiTheme="minorBidi" w:hAnsiTheme="minorBidi"/>
          <w:b/>
          <w:bCs/>
          <w:sz w:val="24"/>
          <w:szCs w:val="24"/>
        </w:rPr>
        <w:t>Causes</w:t>
      </w:r>
    </w:p>
    <w:p w:rsidR="000B7192" w:rsidRDefault="000B7192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486055">
        <w:rPr>
          <w:rFonts w:asciiTheme="minorBidi" w:hAnsiTheme="minorBidi"/>
          <w:sz w:val="24"/>
          <w:szCs w:val="24"/>
        </w:rPr>
        <w:t>S</w:t>
      </w:r>
      <w:r>
        <w:rPr>
          <w:rFonts w:asciiTheme="minorBidi" w:hAnsiTheme="minorBidi"/>
          <w:sz w:val="24"/>
          <w:szCs w:val="24"/>
        </w:rPr>
        <w:t>moking                   - alcoholism                  - renal failure                             - hyperthyroidism</w:t>
      </w:r>
    </w:p>
    <w:p w:rsidR="00A01D90" w:rsidRPr="00A01D90" w:rsidRDefault="000B7192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multiple myeloma     - heparin                       - </w:t>
      </w:r>
      <w:r w:rsidR="00F33C02">
        <w:rPr>
          <w:rFonts w:asciiTheme="minorBidi" w:hAnsiTheme="minorBidi"/>
          <w:sz w:val="24"/>
          <w:szCs w:val="24"/>
        </w:rPr>
        <w:t>chronic steroid use                  - age</w:t>
      </w:r>
    </w:p>
    <w:p w:rsidR="00A01D90" w:rsidRPr="00486055" w:rsidRDefault="00486055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486055">
        <w:rPr>
          <w:rFonts w:asciiTheme="minorBidi" w:hAnsiTheme="minorBidi"/>
          <w:b/>
          <w:bCs/>
          <w:sz w:val="24"/>
          <w:szCs w:val="24"/>
        </w:rPr>
        <w:t>Clinical features</w:t>
      </w:r>
    </w:p>
    <w:p w:rsidR="00604CDD" w:rsidRPr="00604CDD" w:rsidRDefault="00486055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1D90">
        <w:rPr>
          <w:rFonts w:asciiTheme="minorBidi" w:hAnsiTheme="minorBidi"/>
          <w:sz w:val="24"/>
          <w:szCs w:val="24"/>
        </w:rPr>
        <w:t>Typically,</w:t>
      </w:r>
      <w:r w:rsidR="00A01D90" w:rsidRPr="00A01D90">
        <w:rPr>
          <w:rFonts w:asciiTheme="minorBidi" w:hAnsiTheme="minorBidi"/>
          <w:sz w:val="24"/>
          <w:szCs w:val="24"/>
        </w:rPr>
        <w:t xml:space="preserve"> an old lady without symptoms or with chronic low back pain, loss of height,</w:t>
      </w:r>
      <w:r>
        <w:rPr>
          <w:rFonts w:asciiTheme="minorBidi" w:hAnsiTheme="minorBidi"/>
          <w:sz w:val="24"/>
          <w:szCs w:val="24"/>
        </w:rPr>
        <w:t xml:space="preserve"> </w:t>
      </w:r>
      <w:r w:rsidR="00A01D90" w:rsidRPr="00A01D90">
        <w:rPr>
          <w:rFonts w:asciiTheme="minorBidi" w:hAnsiTheme="minorBidi"/>
          <w:sz w:val="24"/>
          <w:szCs w:val="24"/>
        </w:rPr>
        <w:t>progressive kyphosis and sometimes vertebral compression fractures after bending or lifting</w:t>
      </w:r>
      <w:r>
        <w:rPr>
          <w:rFonts w:asciiTheme="minorBidi" w:hAnsiTheme="minorBidi"/>
          <w:sz w:val="24"/>
          <w:szCs w:val="24"/>
        </w:rPr>
        <w:t xml:space="preserve"> </w:t>
      </w:r>
      <w:r w:rsidR="00A01D90" w:rsidRPr="00A01D90">
        <w:rPr>
          <w:rFonts w:asciiTheme="minorBidi" w:hAnsiTheme="minorBidi"/>
          <w:sz w:val="24"/>
          <w:szCs w:val="24"/>
        </w:rPr>
        <w:t>followed by acute lumbar pain radiate to the ﬂanks and downward to one leg. Sometimes</w:t>
      </w:r>
      <w:r>
        <w:rPr>
          <w:rFonts w:asciiTheme="minorBidi" w:hAnsiTheme="minorBidi"/>
          <w:sz w:val="24"/>
          <w:szCs w:val="24"/>
        </w:rPr>
        <w:t xml:space="preserve"> </w:t>
      </w:r>
      <w:r w:rsidR="00A01D90" w:rsidRPr="00A01D90">
        <w:rPr>
          <w:rFonts w:asciiTheme="minorBidi" w:hAnsiTheme="minorBidi"/>
          <w:sz w:val="24"/>
          <w:szCs w:val="24"/>
        </w:rPr>
        <w:t>presented with fractures after minor trauma.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604CDD">
        <w:rPr>
          <w:rFonts w:asciiTheme="minorBidi" w:hAnsiTheme="minorBidi"/>
          <w:b/>
          <w:bCs/>
          <w:sz w:val="24"/>
          <w:szCs w:val="24"/>
        </w:rPr>
        <w:t>Investigation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Norm</w:t>
      </w:r>
      <w:r w:rsidRPr="00604CDD">
        <w:rPr>
          <w:rFonts w:asciiTheme="minorBidi" w:hAnsiTheme="minorBidi"/>
          <w:sz w:val="24"/>
          <w:szCs w:val="24"/>
        </w:rPr>
        <w:t>al serum calcium and phosphorus, high urinary calcium</w:t>
      </w:r>
      <w:r>
        <w:rPr>
          <w:rFonts w:asciiTheme="minorBidi" w:hAnsiTheme="minorBidi"/>
          <w:sz w:val="24"/>
          <w:szCs w:val="24"/>
        </w:rPr>
        <w:t>.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Normal alkaline phosphatase but increased after fracture only</w:t>
      </w:r>
      <w:r>
        <w:rPr>
          <w:rFonts w:asciiTheme="minorBidi" w:hAnsiTheme="minorBidi"/>
          <w:sz w:val="24"/>
          <w:szCs w:val="24"/>
        </w:rPr>
        <w:t>.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Skeletal x-ray: biconcave vertebral bodies with compression fractures.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Reduced bone density by dual x-ray absorptiometry (DEXA) scan.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604CDD">
        <w:rPr>
          <w:rFonts w:asciiTheme="minorBidi" w:hAnsiTheme="minorBidi"/>
          <w:b/>
          <w:bCs/>
          <w:sz w:val="24"/>
          <w:szCs w:val="24"/>
        </w:rPr>
        <w:t>Treatment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Adequate dietary calcium and vitamin D supplement</w:t>
      </w:r>
      <w:r w:rsidR="00227564">
        <w:rPr>
          <w:rFonts w:asciiTheme="minorBidi" w:hAnsiTheme="minorBidi"/>
          <w:sz w:val="24"/>
          <w:szCs w:val="24"/>
        </w:rPr>
        <w:t>.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Weight bearing exercise (walking, running, jogging)</w:t>
      </w:r>
      <w:r w:rsidR="00227564">
        <w:rPr>
          <w:rFonts w:asciiTheme="minorBidi" w:hAnsiTheme="minorBidi"/>
          <w:sz w:val="24"/>
          <w:szCs w:val="24"/>
        </w:rPr>
        <w:t>.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Hormone replacement therapy in menopausal women</w:t>
      </w:r>
      <w:r w:rsidR="00227564">
        <w:rPr>
          <w:rFonts w:asciiTheme="minorBidi" w:hAnsiTheme="minorBidi"/>
          <w:sz w:val="24"/>
          <w:szCs w:val="24"/>
        </w:rPr>
        <w:t>.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Raloxifene: selective estrogen receptor modulator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Bisphosphonates (alendronate) increases bone densi</w:t>
      </w:r>
      <w:r w:rsidR="00227564">
        <w:rPr>
          <w:rFonts w:asciiTheme="minorBidi" w:hAnsiTheme="minorBidi"/>
          <w:sz w:val="24"/>
          <w:szCs w:val="24"/>
        </w:rPr>
        <w:t xml:space="preserve">ty of spinal bone and decreases </w:t>
      </w:r>
      <w:r w:rsidRPr="00604CDD">
        <w:rPr>
          <w:rFonts w:asciiTheme="minorBidi" w:hAnsiTheme="minorBidi"/>
          <w:sz w:val="24"/>
          <w:szCs w:val="24"/>
        </w:rPr>
        <w:t>incidence of fractures.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Intranasal calcitonin decreases bone reabsorption.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Denosumab: monoclonal antibody</w:t>
      </w:r>
    </w:p>
    <w:p w:rsidR="00227564" w:rsidRDefault="00227564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604CDD" w:rsidRPr="002049FD" w:rsidRDefault="002049FD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2049FD">
        <w:rPr>
          <w:rFonts w:asciiTheme="minorBidi" w:hAnsiTheme="minorBidi"/>
          <w:b/>
          <w:bCs/>
          <w:sz w:val="24"/>
          <w:szCs w:val="24"/>
        </w:rPr>
        <w:t>Dental aspect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Ost</w:t>
      </w:r>
      <w:r w:rsidR="002049FD">
        <w:rPr>
          <w:rFonts w:asciiTheme="minorBidi" w:hAnsiTheme="minorBidi"/>
          <w:sz w:val="24"/>
          <w:szCs w:val="24"/>
        </w:rPr>
        <w:t xml:space="preserve">eoporosis increase the risk </w:t>
      </w:r>
      <w:r w:rsidRPr="00604CDD">
        <w:rPr>
          <w:rFonts w:asciiTheme="minorBidi" w:hAnsiTheme="minorBidi"/>
          <w:sz w:val="24"/>
          <w:szCs w:val="24"/>
        </w:rPr>
        <w:t>of fractures when handling the patient.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Oro-facial feature: excessive alveolar bone loss, Jaw osteo</w:t>
      </w:r>
      <w:r w:rsidR="008B2A65">
        <w:rPr>
          <w:rFonts w:asciiTheme="minorBidi" w:hAnsiTheme="minorBidi"/>
          <w:sz w:val="24"/>
          <w:szCs w:val="24"/>
        </w:rPr>
        <w:t xml:space="preserve">porosis, bisphosphonate-related </w:t>
      </w:r>
      <w:r w:rsidRPr="00604CDD">
        <w:rPr>
          <w:rFonts w:asciiTheme="minorBidi" w:hAnsiTheme="minorBidi"/>
          <w:sz w:val="24"/>
          <w:szCs w:val="24"/>
        </w:rPr>
        <w:t>osteonecrosis of Jaws (BRONJ)</w:t>
      </w:r>
    </w:p>
    <w:p w:rsidR="00B84622" w:rsidRDefault="00B84622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2D6E3F" w:rsidRDefault="002D6E3F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2D6E3F" w:rsidRDefault="002D6E3F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2D6E3F" w:rsidRDefault="002D6E3F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604CDD" w:rsidRPr="008B2A65" w:rsidRDefault="00604CDD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8B2A65">
        <w:rPr>
          <w:rFonts w:asciiTheme="minorBidi" w:hAnsiTheme="minorBidi"/>
          <w:b/>
          <w:bCs/>
          <w:sz w:val="24"/>
          <w:szCs w:val="24"/>
          <w:u w:val="single"/>
        </w:rPr>
        <w:t>BRONJ</w:t>
      </w:r>
    </w:p>
    <w:p w:rsidR="00DD5BC0" w:rsidRDefault="00B84622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B84622">
        <w:rPr>
          <w:rFonts w:asciiTheme="minorBidi" w:hAnsiTheme="minorBidi"/>
          <w:sz w:val="24"/>
          <w:szCs w:val="24"/>
        </w:rPr>
        <w:t>Bisphosphonate-related osteonecrosis of the jaw (BRONJ) is a condition found in patients who have received intravenous and oral forms of bisphosphonate therapy for various bone-relat</w:t>
      </w:r>
      <w:r>
        <w:rPr>
          <w:rFonts w:asciiTheme="minorBidi" w:hAnsiTheme="minorBidi"/>
          <w:sz w:val="24"/>
          <w:szCs w:val="24"/>
        </w:rPr>
        <w:t xml:space="preserve">ed conditions. BRONJ </w:t>
      </w:r>
      <w:r w:rsidRPr="00B84622">
        <w:rPr>
          <w:rFonts w:asciiTheme="minorBidi" w:hAnsiTheme="minorBidi"/>
          <w:sz w:val="24"/>
          <w:szCs w:val="24"/>
        </w:rPr>
        <w:t xml:space="preserve">manifests as exposed, nonvital bone involving the maxillofacial structures. </w:t>
      </w:r>
    </w:p>
    <w:p w:rsidR="00B84622" w:rsidRDefault="00DD5BC0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BRONJ</w:t>
      </w:r>
      <w:r w:rsidR="00B84622" w:rsidRPr="00B84622">
        <w:rPr>
          <w:rFonts w:asciiTheme="minorBidi" w:hAnsiTheme="minorBidi"/>
          <w:sz w:val="24"/>
          <w:szCs w:val="24"/>
        </w:rPr>
        <w:t xml:space="preserve"> is thought to be caused by </w:t>
      </w:r>
      <w:r w:rsidR="00B84622" w:rsidRPr="00DD5BC0">
        <w:rPr>
          <w:rFonts w:asciiTheme="minorBidi" w:hAnsiTheme="minorBidi"/>
          <w:sz w:val="24"/>
          <w:szCs w:val="24"/>
        </w:rPr>
        <w:t>trauma</w:t>
      </w:r>
      <w:r w:rsidR="00B84622" w:rsidRPr="00B84622">
        <w:rPr>
          <w:rFonts w:asciiTheme="minorBidi" w:hAnsiTheme="minorBidi"/>
          <w:sz w:val="24"/>
          <w:szCs w:val="24"/>
        </w:rPr>
        <w:t> to dentoalveolar structures that have a limited capacity for bone healing due to the effects of bisphosphonate therapy.</w:t>
      </w:r>
    </w:p>
    <w:p w:rsidR="00D13993" w:rsidRDefault="00604CDD" w:rsidP="002D6E3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Area of exposed necrotic bone in maxillofacial region tha</w:t>
      </w:r>
      <w:r w:rsidR="002049FD">
        <w:rPr>
          <w:rFonts w:asciiTheme="minorBidi" w:hAnsiTheme="minorBidi"/>
          <w:sz w:val="24"/>
          <w:szCs w:val="24"/>
        </w:rPr>
        <w:t>t did not heal within 8 weeks aft</w:t>
      </w:r>
      <w:r w:rsidR="008B2A65">
        <w:rPr>
          <w:rFonts w:asciiTheme="minorBidi" w:hAnsiTheme="minorBidi"/>
          <w:sz w:val="24"/>
          <w:szCs w:val="24"/>
        </w:rPr>
        <w:t xml:space="preserve">er </w:t>
      </w:r>
      <w:r w:rsidRPr="00604CDD">
        <w:rPr>
          <w:rFonts w:asciiTheme="minorBidi" w:hAnsiTheme="minorBidi"/>
          <w:sz w:val="24"/>
          <w:szCs w:val="24"/>
        </w:rPr>
        <w:t>identiﬁcation by dentist in patient receiving or rece</w:t>
      </w:r>
      <w:r w:rsidR="008B2A65">
        <w:rPr>
          <w:rFonts w:asciiTheme="minorBidi" w:hAnsiTheme="minorBidi"/>
          <w:sz w:val="24"/>
          <w:szCs w:val="24"/>
        </w:rPr>
        <w:t xml:space="preserve">ived bisphosphonate and not had </w:t>
      </w:r>
      <w:r w:rsidRPr="00604CDD">
        <w:rPr>
          <w:rFonts w:asciiTheme="minorBidi" w:hAnsiTheme="minorBidi"/>
          <w:sz w:val="24"/>
          <w:szCs w:val="24"/>
        </w:rPr>
        <w:t>radiation ther</w:t>
      </w:r>
      <w:r w:rsidR="002D6E3F">
        <w:rPr>
          <w:rFonts w:asciiTheme="minorBidi" w:hAnsiTheme="minorBidi"/>
          <w:sz w:val="24"/>
          <w:szCs w:val="24"/>
        </w:rPr>
        <w:t>apy to the craniofacial region.</w:t>
      </w:r>
    </w:p>
    <w:p w:rsidR="00D13993" w:rsidRPr="00D13993" w:rsidRDefault="00D13993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D13993">
        <w:rPr>
          <w:rFonts w:asciiTheme="minorBidi" w:hAnsiTheme="minorBidi"/>
          <w:b/>
          <w:bCs/>
          <w:sz w:val="24"/>
          <w:szCs w:val="24"/>
        </w:rPr>
        <w:t>Clinical examination</w:t>
      </w:r>
    </w:p>
    <w:p w:rsidR="00604CDD" w:rsidRPr="00604CDD" w:rsidRDefault="00D13993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</w:t>
      </w:r>
      <w:r w:rsidR="00604CDD" w:rsidRPr="00604CDD">
        <w:rPr>
          <w:rFonts w:asciiTheme="minorBidi" w:hAnsiTheme="minorBidi"/>
          <w:sz w:val="24"/>
          <w:szCs w:val="24"/>
        </w:rPr>
        <w:t>xposed bone, loose teeth, foul discharge, pain, and ﬁstula.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X-ray: sclerosis or loss of lamina dura and wide periodontal ligament space</w:t>
      </w:r>
    </w:p>
    <w:p w:rsidR="00D13993" w:rsidRPr="00D13993" w:rsidRDefault="00D13993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D13993">
        <w:rPr>
          <w:rFonts w:asciiTheme="minorBidi" w:hAnsiTheme="minorBidi"/>
          <w:b/>
          <w:bCs/>
          <w:sz w:val="24"/>
          <w:szCs w:val="24"/>
        </w:rPr>
        <w:t>Prevention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 xml:space="preserve">Oral surgery </w:t>
      </w:r>
      <w:r w:rsidR="00D13993">
        <w:rPr>
          <w:rFonts w:asciiTheme="minorBidi" w:hAnsiTheme="minorBidi"/>
          <w:sz w:val="24"/>
          <w:szCs w:val="24"/>
        </w:rPr>
        <w:t xml:space="preserve">to be </w:t>
      </w:r>
      <w:r w:rsidRPr="00604CDD">
        <w:rPr>
          <w:rFonts w:asciiTheme="minorBidi" w:hAnsiTheme="minorBidi"/>
          <w:sz w:val="24"/>
          <w:szCs w:val="24"/>
        </w:rPr>
        <w:t>done before start</w:t>
      </w:r>
      <w:r w:rsidR="00D13993">
        <w:rPr>
          <w:rFonts w:asciiTheme="minorBidi" w:hAnsiTheme="minorBidi"/>
          <w:sz w:val="24"/>
          <w:szCs w:val="24"/>
        </w:rPr>
        <w:t>ing</w:t>
      </w:r>
      <w:r w:rsidRPr="00604CDD">
        <w:rPr>
          <w:rFonts w:asciiTheme="minorBidi" w:hAnsiTheme="minorBidi"/>
          <w:sz w:val="24"/>
          <w:szCs w:val="24"/>
        </w:rPr>
        <w:t xml:space="preserve"> bisp</w:t>
      </w:r>
      <w:r w:rsidR="00D13993">
        <w:rPr>
          <w:rFonts w:asciiTheme="minorBidi" w:hAnsiTheme="minorBidi"/>
          <w:sz w:val="24"/>
          <w:szCs w:val="24"/>
        </w:rPr>
        <w:t xml:space="preserve">hosphonate or after drug stopping for 6 </w:t>
      </w:r>
      <w:r w:rsidRPr="00604CDD">
        <w:rPr>
          <w:rFonts w:asciiTheme="minorBidi" w:hAnsiTheme="minorBidi"/>
          <w:sz w:val="24"/>
          <w:szCs w:val="24"/>
        </w:rPr>
        <w:t>months and in emergency surgery, use prophylactic antibiotic.</w:t>
      </w:r>
    </w:p>
    <w:p w:rsidR="00D13993" w:rsidRPr="00590156" w:rsidRDefault="00D13993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590156">
        <w:rPr>
          <w:rFonts w:asciiTheme="minorBidi" w:hAnsiTheme="minorBidi"/>
          <w:b/>
          <w:bCs/>
          <w:sz w:val="24"/>
          <w:szCs w:val="24"/>
        </w:rPr>
        <w:t>Treatment</w:t>
      </w:r>
    </w:p>
    <w:p w:rsidR="00590156" w:rsidRPr="00590156" w:rsidRDefault="00590156" w:rsidP="00E2777F">
      <w:pPr>
        <w:numPr>
          <w:ilvl w:val="0"/>
          <w:numId w:val="7"/>
        </w:num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590156">
        <w:rPr>
          <w:rFonts w:asciiTheme="minorBidi" w:hAnsiTheme="minorBidi"/>
          <w:sz w:val="24"/>
          <w:szCs w:val="24"/>
        </w:rPr>
        <w:t>Antimicrobial rinses</w:t>
      </w:r>
    </w:p>
    <w:p w:rsidR="00590156" w:rsidRPr="00590156" w:rsidRDefault="00590156" w:rsidP="00E2777F">
      <w:pPr>
        <w:numPr>
          <w:ilvl w:val="0"/>
          <w:numId w:val="7"/>
        </w:num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590156">
        <w:rPr>
          <w:rFonts w:asciiTheme="minorBidi" w:hAnsiTheme="minorBidi"/>
          <w:sz w:val="24"/>
          <w:szCs w:val="24"/>
        </w:rPr>
        <w:t>Systemic antibiotics</w:t>
      </w:r>
    </w:p>
    <w:p w:rsidR="00590156" w:rsidRPr="00590156" w:rsidRDefault="00590156" w:rsidP="00E2777F">
      <w:pPr>
        <w:numPr>
          <w:ilvl w:val="0"/>
          <w:numId w:val="7"/>
        </w:num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590156">
        <w:rPr>
          <w:rFonts w:asciiTheme="minorBidi" w:hAnsiTheme="minorBidi"/>
          <w:sz w:val="24"/>
          <w:szCs w:val="24"/>
        </w:rPr>
        <w:t>Systemic or topical antifungals</w:t>
      </w:r>
    </w:p>
    <w:p w:rsidR="00590156" w:rsidRPr="00590156" w:rsidRDefault="00590156" w:rsidP="00E2777F">
      <w:pPr>
        <w:numPr>
          <w:ilvl w:val="0"/>
          <w:numId w:val="7"/>
        </w:num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590156">
        <w:rPr>
          <w:rFonts w:asciiTheme="minorBidi" w:hAnsiTheme="minorBidi"/>
          <w:sz w:val="24"/>
          <w:szCs w:val="24"/>
        </w:rPr>
        <w:t>Discontinuation of bisphosphonate therapy</w:t>
      </w:r>
    </w:p>
    <w:p w:rsidR="00590156" w:rsidRPr="00590156" w:rsidRDefault="00590156" w:rsidP="00E2777F">
      <w:pPr>
        <w:numPr>
          <w:ilvl w:val="0"/>
          <w:numId w:val="7"/>
        </w:num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590156">
        <w:rPr>
          <w:rFonts w:asciiTheme="minorBidi" w:hAnsiTheme="minorBidi"/>
          <w:sz w:val="24"/>
          <w:szCs w:val="24"/>
        </w:rPr>
        <w:t>No dental therapy or minimally invasive dental therapy (ie, root canal therapy instead of extraction)</w:t>
      </w:r>
    </w:p>
    <w:p w:rsidR="00590156" w:rsidRDefault="00590156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590156" w:rsidRDefault="00590156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604CDD" w:rsidRPr="004A2C84" w:rsidRDefault="00604CDD" w:rsidP="00E2777F">
      <w:pPr>
        <w:shd w:val="clear" w:color="auto" w:fill="BFBFBF" w:themeFill="background1" w:themeFillShade="BF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4A2C84">
        <w:rPr>
          <w:rFonts w:asciiTheme="minorBidi" w:hAnsiTheme="minorBidi"/>
          <w:b/>
          <w:bCs/>
          <w:sz w:val="24"/>
          <w:szCs w:val="24"/>
        </w:rPr>
        <w:t>Gigantism and acromegaly</w:t>
      </w:r>
    </w:p>
    <w:p w:rsidR="00604CDD" w:rsidRPr="00604CDD" w:rsidRDefault="00DD4307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Clinical condition results from o</w:t>
      </w:r>
      <w:r w:rsidR="00604CDD" w:rsidRPr="00604CDD">
        <w:rPr>
          <w:rFonts w:asciiTheme="minorBidi" w:hAnsiTheme="minorBidi"/>
          <w:sz w:val="24"/>
          <w:szCs w:val="24"/>
        </w:rPr>
        <w:t>verproduction of growth hormone by anterior pituitary a</w:t>
      </w:r>
      <w:r>
        <w:rPr>
          <w:rFonts w:asciiTheme="minorBidi" w:hAnsiTheme="minorBidi"/>
          <w:sz w:val="24"/>
          <w:szCs w:val="24"/>
        </w:rPr>
        <w:t xml:space="preserve">denoma causing gigantism before </w:t>
      </w:r>
      <w:r w:rsidR="00604CDD" w:rsidRPr="00604CDD">
        <w:rPr>
          <w:rFonts w:asciiTheme="minorBidi" w:hAnsiTheme="minorBidi"/>
          <w:sz w:val="24"/>
          <w:szCs w:val="24"/>
        </w:rPr>
        <w:t>the time of epiphyseal fusion and acromegaly thereafter.</w:t>
      </w:r>
    </w:p>
    <w:p w:rsidR="00604CDD" w:rsidRPr="00DD4307" w:rsidRDefault="00604CDD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DD4307">
        <w:rPr>
          <w:rFonts w:asciiTheme="minorBidi" w:hAnsiTheme="minorBidi"/>
          <w:b/>
          <w:bCs/>
          <w:sz w:val="24"/>
          <w:szCs w:val="24"/>
        </w:rPr>
        <w:t>Clin</w:t>
      </w:r>
      <w:r w:rsidR="00DD4307" w:rsidRPr="00DD4307">
        <w:rPr>
          <w:rFonts w:asciiTheme="minorBidi" w:hAnsiTheme="minorBidi"/>
          <w:b/>
          <w:bCs/>
          <w:sz w:val="24"/>
          <w:szCs w:val="24"/>
        </w:rPr>
        <w:t>ical features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Gigantism: tall stature, thick soft tissue with prominent supraor</w:t>
      </w:r>
      <w:r w:rsidR="00DD4307">
        <w:rPr>
          <w:rFonts w:asciiTheme="minorBidi" w:hAnsiTheme="minorBidi"/>
          <w:sz w:val="24"/>
          <w:szCs w:val="24"/>
        </w:rPr>
        <w:t xml:space="preserve">bital ridges, coarse oily skin, </w:t>
      </w:r>
      <w:r w:rsidRPr="00604CDD">
        <w:rPr>
          <w:rFonts w:asciiTheme="minorBidi" w:hAnsiTheme="minorBidi"/>
          <w:sz w:val="24"/>
          <w:szCs w:val="24"/>
        </w:rPr>
        <w:t>thick spade like ﬁngers and deep voice.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Acromegaly: enlarged mandible (prognathism), thick facial features, large spade like hands</w:t>
      </w:r>
      <w:r w:rsidR="00DD4307">
        <w:rPr>
          <w:rFonts w:asciiTheme="minorBidi" w:hAnsiTheme="minorBidi"/>
          <w:sz w:val="24"/>
          <w:szCs w:val="24"/>
        </w:rPr>
        <w:t>.</w:t>
      </w:r>
    </w:p>
    <w:p w:rsidR="0065190B" w:rsidRPr="0065190B" w:rsidRDefault="0065190B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65190B">
        <w:rPr>
          <w:rFonts w:asciiTheme="minorBidi" w:hAnsiTheme="minorBidi"/>
          <w:b/>
          <w:bCs/>
          <w:sz w:val="24"/>
          <w:szCs w:val="24"/>
        </w:rPr>
        <w:t>Complications</w:t>
      </w:r>
      <w:r w:rsidR="00604CDD" w:rsidRPr="0065190B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DM, hypertension, heart failure, arrhythm</w:t>
      </w:r>
      <w:r w:rsidR="0065190B">
        <w:rPr>
          <w:rFonts w:asciiTheme="minorBidi" w:hAnsiTheme="minorBidi"/>
          <w:sz w:val="24"/>
          <w:szCs w:val="24"/>
        </w:rPr>
        <w:t xml:space="preserve">ia, sleep apnea, hypercalcemia, </w:t>
      </w:r>
      <w:r w:rsidRPr="00604CDD">
        <w:rPr>
          <w:rFonts w:asciiTheme="minorBidi" w:hAnsiTheme="minorBidi"/>
          <w:sz w:val="24"/>
          <w:szCs w:val="24"/>
        </w:rPr>
        <w:t>osteoarthritis, hypopituitarism, visu</w:t>
      </w:r>
      <w:r w:rsidR="0065190B">
        <w:rPr>
          <w:rFonts w:asciiTheme="minorBidi" w:hAnsiTheme="minorBidi"/>
          <w:sz w:val="24"/>
          <w:szCs w:val="24"/>
        </w:rPr>
        <w:t xml:space="preserve">al ﬁeld defect, and </w:t>
      </w:r>
      <w:r w:rsidRPr="00604CDD">
        <w:rPr>
          <w:rFonts w:asciiTheme="minorBidi" w:hAnsiTheme="minorBidi"/>
          <w:sz w:val="24"/>
          <w:szCs w:val="24"/>
        </w:rPr>
        <w:t>raised int</w:t>
      </w:r>
      <w:r w:rsidR="0065190B">
        <w:rPr>
          <w:rFonts w:asciiTheme="minorBidi" w:hAnsiTheme="minorBidi"/>
          <w:sz w:val="24"/>
          <w:szCs w:val="24"/>
        </w:rPr>
        <w:t>racranial pressure.</w:t>
      </w:r>
    </w:p>
    <w:p w:rsidR="00604CDD" w:rsidRPr="0065190B" w:rsidRDefault="0065190B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Investigation</w:t>
      </w:r>
    </w:p>
    <w:p w:rsidR="00604CDD" w:rsidRPr="00604CDD" w:rsidRDefault="00036742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Raised serum GH.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Lack of GH suppression by glucose load</w:t>
      </w:r>
      <w:r w:rsidR="00036742">
        <w:rPr>
          <w:rFonts w:asciiTheme="minorBidi" w:hAnsiTheme="minorBidi"/>
          <w:sz w:val="24"/>
          <w:szCs w:val="24"/>
        </w:rPr>
        <w:t>.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High serum IGF</w:t>
      </w:r>
      <w:r w:rsidR="00036742">
        <w:rPr>
          <w:rFonts w:asciiTheme="minorBidi" w:hAnsiTheme="minorBidi"/>
          <w:sz w:val="24"/>
          <w:szCs w:val="24"/>
        </w:rPr>
        <w:t>-1 (Insulin-like growth factor-1</w:t>
      </w:r>
      <w:r w:rsidRPr="00604CDD">
        <w:rPr>
          <w:rFonts w:asciiTheme="minorBidi" w:hAnsiTheme="minorBidi"/>
          <w:sz w:val="24"/>
          <w:szCs w:val="24"/>
        </w:rPr>
        <w:t>)</w:t>
      </w: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04CDD">
        <w:rPr>
          <w:rFonts w:asciiTheme="minorBidi" w:hAnsiTheme="minorBidi"/>
          <w:sz w:val="24"/>
          <w:szCs w:val="24"/>
        </w:rPr>
        <w:t>Radiography: X-ray, CT, and MRI show evidence of pituitary enlargement</w:t>
      </w:r>
    </w:p>
    <w:p w:rsidR="00590156" w:rsidRPr="006D1D1A" w:rsidRDefault="006D1D1A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6D1D1A">
        <w:rPr>
          <w:rFonts w:asciiTheme="minorBidi" w:hAnsiTheme="minorBidi"/>
          <w:b/>
          <w:bCs/>
          <w:sz w:val="24"/>
          <w:szCs w:val="24"/>
        </w:rPr>
        <w:t>Treatment</w:t>
      </w:r>
    </w:p>
    <w:p w:rsidR="00590156" w:rsidRPr="00590156" w:rsidRDefault="00590156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590156">
        <w:rPr>
          <w:rFonts w:asciiTheme="minorBidi" w:hAnsiTheme="minorBidi"/>
          <w:sz w:val="24"/>
          <w:szCs w:val="24"/>
        </w:rPr>
        <w:t>Surgery (trans-sphenoidal resection of pituitary adenoma)</w:t>
      </w:r>
      <w:r w:rsidR="00526943">
        <w:rPr>
          <w:rFonts w:asciiTheme="minorBidi" w:hAnsiTheme="minorBidi"/>
          <w:sz w:val="24"/>
          <w:szCs w:val="24"/>
        </w:rPr>
        <w:t>.</w:t>
      </w:r>
    </w:p>
    <w:p w:rsidR="00590156" w:rsidRPr="00590156" w:rsidRDefault="00590156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590156">
        <w:rPr>
          <w:rFonts w:asciiTheme="minorBidi" w:hAnsiTheme="minorBidi"/>
          <w:sz w:val="24"/>
          <w:szCs w:val="24"/>
        </w:rPr>
        <w:t>Radiation therapy</w:t>
      </w:r>
    </w:p>
    <w:p w:rsidR="00590156" w:rsidRPr="00590156" w:rsidRDefault="00590156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590156">
        <w:rPr>
          <w:rFonts w:asciiTheme="minorBidi" w:hAnsiTheme="minorBidi"/>
          <w:sz w:val="24"/>
          <w:szCs w:val="24"/>
        </w:rPr>
        <w:t>Dopamine agonist (bromocriptine) or somatostatin analogue (octreotide)</w:t>
      </w:r>
      <w:r w:rsidR="00E15415">
        <w:rPr>
          <w:rFonts w:asciiTheme="minorBidi" w:hAnsiTheme="minorBidi"/>
          <w:sz w:val="24"/>
          <w:szCs w:val="24"/>
        </w:rPr>
        <w:t>.</w:t>
      </w:r>
    </w:p>
    <w:p w:rsidR="00590156" w:rsidRPr="00590156" w:rsidRDefault="00590156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590156">
        <w:rPr>
          <w:rFonts w:asciiTheme="minorBidi" w:hAnsiTheme="minorBidi"/>
          <w:sz w:val="24"/>
          <w:szCs w:val="24"/>
        </w:rPr>
        <w:t>GH receptor blocker (pegvisomant)</w:t>
      </w:r>
      <w:r w:rsidR="00E15415">
        <w:rPr>
          <w:rFonts w:asciiTheme="minorBidi" w:hAnsiTheme="minorBidi"/>
          <w:sz w:val="24"/>
          <w:szCs w:val="24"/>
        </w:rPr>
        <w:t>.</w:t>
      </w:r>
    </w:p>
    <w:p w:rsidR="006D1D1A" w:rsidRDefault="006D1D1A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6D1D1A" w:rsidRDefault="006D1D1A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590156" w:rsidRPr="00526943" w:rsidRDefault="00526943" w:rsidP="00E2777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526943">
        <w:rPr>
          <w:rFonts w:asciiTheme="minorBidi" w:hAnsiTheme="minorBidi"/>
          <w:b/>
          <w:bCs/>
          <w:sz w:val="24"/>
          <w:szCs w:val="24"/>
        </w:rPr>
        <w:t>Dental aspect</w:t>
      </w:r>
    </w:p>
    <w:p w:rsidR="00590156" w:rsidRPr="00590156" w:rsidRDefault="00590156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590156">
        <w:rPr>
          <w:rFonts w:asciiTheme="minorBidi" w:hAnsiTheme="minorBidi"/>
          <w:sz w:val="24"/>
          <w:szCs w:val="24"/>
        </w:rPr>
        <w:t>Consider possible associated complications (HT, DM, HF, hypopituitarism, and</w:t>
      </w:r>
      <w:r w:rsidR="00526943">
        <w:rPr>
          <w:rFonts w:asciiTheme="minorBidi" w:hAnsiTheme="minorBidi"/>
          <w:sz w:val="24"/>
          <w:szCs w:val="24"/>
        </w:rPr>
        <w:t xml:space="preserve"> </w:t>
      </w:r>
      <w:r w:rsidRPr="00590156">
        <w:rPr>
          <w:rFonts w:asciiTheme="minorBidi" w:hAnsiTheme="minorBidi"/>
          <w:sz w:val="24"/>
          <w:szCs w:val="24"/>
        </w:rPr>
        <w:t>arrhythmia).</w:t>
      </w:r>
    </w:p>
    <w:p w:rsidR="00590156" w:rsidRPr="00590156" w:rsidRDefault="00590156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590156">
        <w:rPr>
          <w:rFonts w:asciiTheme="minorBidi" w:hAnsiTheme="minorBidi"/>
          <w:sz w:val="24"/>
          <w:szCs w:val="24"/>
        </w:rPr>
        <w:t>GA may be hazardous from associated kyphosis and associated difﬁcult intubation.</w:t>
      </w:r>
    </w:p>
    <w:p w:rsidR="00B13279" w:rsidRDefault="006A4FCE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Both gigantism</w:t>
      </w:r>
      <w:r w:rsidR="00B13279">
        <w:rPr>
          <w:rFonts w:asciiTheme="minorBidi" w:hAnsiTheme="minorBidi"/>
          <w:sz w:val="24"/>
          <w:szCs w:val="24"/>
        </w:rPr>
        <w:t xml:space="preserve"> and acromegaly could be associated with following o</w:t>
      </w:r>
      <w:r w:rsidR="00590156" w:rsidRPr="00590156">
        <w:rPr>
          <w:rFonts w:asciiTheme="minorBidi" w:hAnsiTheme="minorBidi"/>
          <w:sz w:val="24"/>
          <w:szCs w:val="24"/>
        </w:rPr>
        <w:t xml:space="preserve">rofacial features: </w:t>
      </w:r>
    </w:p>
    <w:p w:rsidR="00590156" w:rsidRDefault="00B13279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thickened skull</w:t>
      </w:r>
      <w:r w:rsidR="00590156" w:rsidRPr="00590156">
        <w:rPr>
          <w:rFonts w:asciiTheme="minorBidi" w:hAnsiTheme="minorBidi"/>
          <w:sz w:val="24"/>
          <w:szCs w:val="24"/>
        </w:rPr>
        <w:t>, enlarged paranasal sinuses, mandibular</w:t>
      </w:r>
      <w:r>
        <w:rPr>
          <w:rFonts w:asciiTheme="minorBidi" w:hAnsiTheme="minorBidi"/>
          <w:sz w:val="24"/>
          <w:szCs w:val="24"/>
        </w:rPr>
        <w:t xml:space="preserve"> </w:t>
      </w:r>
      <w:r w:rsidR="00526943">
        <w:rPr>
          <w:rFonts w:asciiTheme="minorBidi" w:hAnsiTheme="minorBidi"/>
          <w:sz w:val="24"/>
          <w:szCs w:val="24"/>
        </w:rPr>
        <w:t>enlargement w</w:t>
      </w:r>
      <w:r w:rsidR="00590156" w:rsidRPr="00590156">
        <w:rPr>
          <w:rFonts w:asciiTheme="minorBidi" w:hAnsiTheme="minorBidi"/>
          <w:sz w:val="24"/>
          <w:szCs w:val="24"/>
        </w:rPr>
        <w:t>ith prognathism (class III malocclusion), teeth spacing, thickening of facial</w:t>
      </w:r>
      <w:r>
        <w:rPr>
          <w:rFonts w:asciiTheme="minorBidi" w:hAnsiTheme="minorBidi"/>
          <w:sz w:val="24"/>
          <w:szCs w:val="24"/>
        </w:rPr>
        <w:t xml:space="preserve"> </w:t>
      </w:r>
      <w:r w:rsidR="00590156" w:rsidRPr="00590156">
        <w:rPr>
          <w:rFonts w:asciiTheme="minorBidi" w:hAnsiTheme="minorBidi"/>
          <w:sz w:val="24"/>
          <w:szCs w:val="24"/>
        </w:rPr>
        <w:t>soft tissue and sialosis may develop.</w:t>
      </w:r>
    </w:p>
    <w:p w:rsidR="004A2C84" w:rsidRDefault="004A2C84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4A2C84" w:rsidRDefault="004A2C84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4A2C84" w:rsidRPr="00590156" w:rsidRDefault="004A2C84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^^^^^^^^^^^^^^^^^^^^^^^^^^^^^^^^^^^^^^^^^^^^^^^^^^^^^^^^^^^^^^^^^^^^^^^^^^^^^^^^^^^^^^^^^^^^^^^^^^^^^^^^^^^^^^^^^^^^^^^^^^^^^^^^^^^^^^^^^^^^^^^^^^^^^^^^^^^^^^^^^^^^^^^^^^^^^^^^^^^^^^^^^^^^^^^^^^^^^^^^^^^^^^^^^^^^^^^^^^^^^^^^^^^^^^^^^^^^^^^^^^^^^^^^^^^^^^^^^^^^^^^^^^^^^^^^^^^^</w:t>
      </w:r>
      <w:bookmarkStart w:id="0" w:name="_GoBack"/>
      <w:bookmarkEnd w:id="0"/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604CDD" w:rsidRP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604CDD" w:rsidRDefault="00604CDD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295EE4" w:rsidRDefault="00295EE4" w:rsidP="00E2777F">
      <w:pPr>
        <w:spacing w:after="0" w:line="276" w:lineRule="auto"/>
        <w:jc w:val="center"/>
        <w:rPr>
          <w:rFonts w:asciiTheme="minorBidi" w:hAnsiTheme="minorBidi"/>
          <w:sz w:val="24"/>
          <w:szCs w:val="24"/>
        </w:rPr>
      </w:pPr>
    </w:p>
    <w:p w:rsidR="00E93244" w:rsidRPr="00295EE4" w:rsidRDefault="00E93244" w:rsidP="00E2777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sectPr w:rsidR="00E93244" w:rsidRPr="00295EE4" w:rsidSect="008575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3C7" w:rsidRDefault="00B923C7" w:rsidP="00064909">
      <w:pPr>
        <w:spacing w:after="0"/>
      </w:pPr>
      <w:r>
        <w:separator/>
      </w:r>
    </w:p>
  </w:endnote>
  <w:endnote w:type="continuationSeparator" w:id="0">
    <w:p w:rsidR="00B923C7" w:rsidRDefault="00B923C7" w:rsidP="000649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DD" w:rsidRDefault="00604C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64305"/>
      <w:docPartObj>
        <w:docPartGallery w:val="Page Numbers (Bottom of Page)"/>
        <w:docPartUnique/>
      </w:docPartObj>
    </w:sdtPr>
    <w:sdtEndPr>
      <w:rPr>
        <w:b/>
      </w:rPr>
    </w:sdtEndPr>
    <w:sdtContent>
      <w:p w:rsidR="00604CDD" w:rsidRDefault="00604CD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C84" w:rsidRPr="004A2C84">
          <w:rPr>
            <w:b/>
            <w:noProof/>
          </w:rPr>
          <w:t>9</w:t>
        </w:r>
        <w:r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04CDD" w:rsidRDefault="00604C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DD" w:rsidRDefault="00604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3C7" w:rsidRDefault="00B923C7" w:rsidP="00064909">
      <w:pPr>
        <w:spacing w:after="0"/>
      </w:pPr>
      <w:r>
        <w:separator/>
      </w:r>
    </w:p>
  </w:footnote>
  <w:footnote w:type="continuationSeparator" w:id="0">
    <w:p w:rsidR="00B923C7" w:rsidRDefault="00B923C7" w:rsidP="000649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DD" w:rsidRDefault="00604CD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07782" o:spid="_x0000_s2051" type="#_x0000_t136" style="position:absolute;left:0;text-align:left;margin-left:0;margin-top:0;width:685pt;height:52.65pt;rotation:315;z-index:-251659776;mso-position-horizontal:center;mso-position-horizontal-relative:margin;mso-position-vertical:center;mso-position-vertical-relative:margin" o:allowincell="f" fillcolor="#a5a5a5 [2092]" stroked="f">
          <v:fill opacity=".5"/>
          <v:textpath style="font-family:&quot;Berlin Sans FB Demi&quot;;font-size:1pt" string="General Medicine (Lec. 9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DD" w:rsidRPr="002779B7" w:rsidRDefault="00604CDD" w:rsidP="002779B7">
    <w:pPr>
      <w:pStyle w:val="Header"/>
      <w:jc w:val="left"/>
      <w:rPr>
        <w:rFonts w:ascii="Berlin Sans FB Demi" w:hAnsi="Berlin Sans FB Demi"/>
        <w:sz w:val="24"/>
        <w:szCs w:val="24"/>
      </w:rPr>
    </w:pPr>
    <w:r>
      <w:rPr>
        <w:rFonts w:ascii="Berlin Sans FB Demi" w:hAnsi="Berlin Sans FB Demi"/>
        <w:noProof/>
        <w:sz w:val="24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07783" o:spid="_x0000_s2050" type="#_x0000_t136" style="position:absolute;margin-left:0;margin-top:0;width:733.05pt;height:52.65pt;rotation:315;z-index:-251658752;mso-position-horizontal:center;mso-position-horizontal-relative:margin;mso-position-vertical:center;mso-position-vertical-relative:margin" o:allowincell="f" fillcolor="#a5a5a5 [2092]" stroked="f">
          <v:fill opacity=".5"/>
          <v:textpath style="font-family:&quot;Berlin Sans FB Demi&quot;;font-size:1pt" string="General Medicine (Lec. 9)"/>
          <w10:wrap anchorx="margin" anchory="margin"/>
        </v:shape>
      </w:pict>
    </w:r>
    <w:r>
      <w:rPr>
        <w:rFonts w:ascii="Berlin Sans FB Demi" w:hAnsi="Berlin Sans FB Demi"/>
        <w:sz w:val="24"/>
        <w:szCs w:val="24"/>
      </w:rPr>
      <w:t>Al-Rasheed University college                                                                         Department of Dentistry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DD" w:rsidRDefault="00604CD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07781" o:spid="_x0000_s2049" type="#_x0000_t136" style="position:absolute;left:0;text-align:left;margin-left:0;margin-top:0;width:685pt;height:52.65pt;rotation:315;z-index:-251657728;mso-position-horizontal:center;mso-position-horizontal-relative:margin;mso-position-vertical:center;mso-position-vertical-relative:margin" o:allowincell="f" fillcolor="#a5a5a5 [2092]" stroked="f">
          <v:fill opacity=".5"/>
          <v:textpath style="font-family:&quot;Berlin Sans FB Demi&quot;;font-size:1pt" string="General Medicine (Lec. 9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7" type="#_x0000_t75" style="width:9pt;height:9pt" o:bullet="t">
        <v:imagedata r:id="rId1" o:title="art2A1D"/>
      </v:shape>
    </w:pict>
  </w:numPicBullet>
  <w:abstractNum w:abstractNumId="0" w15:restartNumberingAfterBreak="0">
    <w:nsid w:val="03CA1DCB"/>
    <w:multiLevelType w:val="multilevel"/>
    <w:tmpl w:val="3A0C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7C21D3"/>
    <w:multiLevelType w:val="multilevel"/>
    <w:tmpl w:val="AAF2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EB2F33"/>
    <w:multiLevelType w:val="hybridMultilevel"/>
    <w:tmpl w:val="F9862B8A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E1AA7"/>
    <w:multiLevelType w:val="hybridMultilevel"/>
    <w:tmpl w:val="5754B56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A6EFB"/>
    <w:multiLevelType w:val="multilevel"/>
    <w:tmpl w:val="D7EA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5082D"/>
    <w:multiLevelType w:val="multilevel"/>
    <w:tmpl w:val="BA14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1D610A"/>
    <w:multiLevelType w:val="multilevel"/>
    <w:tmpl w:val="F266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4D"/>
    <w:rsid w:val="00007C75"/>
    <w:rsid w:val="000106E7"/>
    <w:rsid w:val="00015A8F"/>
    <w:rsid w:val="000163E7"/>
    <w:rsid w:val="0002083F"/>
    <w:rsid w:val="00022210"/>
    <w:rsid w:val="000223B0"/>
    <w:rsid w:val="0002334E"/>
    <w:rsid w:val="00023400"/>
    <w:rsid w:val="00023836"/>
    <w:rsid w:val="00026C9E"/>
    <w:rsid w:val="000333A3"/>
    <w:rsid w:val="00036742"/>
    <w:rsid w:val="00036B53"/>
    <w:rsid w:val="000404E9"/>
    <w:rsid w:val="000407E9"/>
    <w:rsid w:val="000510BB"/>
    <w:rsid w:val="00051D4C"/>
    <w:rsid w:val="00052041"/>
    <w:rsid w:val="00054613"/>
    <w:rsid w:val="00055D1D"/>
    <w:rsid w:val="000567F2"/>
    <w:rsid w:val="00057631"/>
    <w:rsid w:val="00060241"/>
    <w:rsid w:val="0006103E"/>
    <w:rsid w:val="00064412"/>
    <w:rsid w:val="00064909"/>
    <w:rsid w:val="00065559"/>
    <w:rsid w:val="000664A9"/>
    <w:rsid w:val="00067909"/>
    <w:rsid w:val="0007048E"/>
    <w:rsid w:val="00071554"/>
    <w:rsid w:val="0007236A"/>
    <w:rsid w:val="00074128"/>
    <w:rsid w:val="00074DF3"/>
    <w:rsid w:val="000754FE"/>
    <w:rsid w:val="00077321"/>
    <w:rsid w:val="00081E79"/>
    <w:rsid w:val="00083254"/>
    <w:rsid w:val="000853DE"/>
    <w:rsid w:val="00085B2A"/>
    <w:rsid w:val="00090BDE"/>
    <w:rsid w:val="00092208"/>
    <w:rsid w:val="000937D2"/>
    <w:rsid w:val="0009470D"/>
    <w:rsid w:val="00096A28"/>
    <w:rsid w:val="000A060C"/>
    <w:rsid w:val="000A1AD2"/>
    <w:rsid w:val="000A5890"/>
    <w:rsid w:val="000A7649"/>
    <w:rsid w:val="000A771C"/>
    <w:rsid w:val="000B102E"/>
    <w:rsid w:val="000B6688"/>
    <w:rsid w:val="000B7192"/>
    <w:rsid w:val="000C47A6"/>
    <w:rsid w:val="000C564E"/>
    <w:rsid w:val="000C5810"/>
    <w:rsid w:val="000C6EED"/>
    <w:rsid w:val="000D05DB"/>
    <w:rsid w:val="000D4AB1"/>
    <w:rsid w:val="000E11B1"/>
    <w:rsid w:val="000E316B"/>
    <w:rsid w:val="000E4A20"/>
    <w:rsid w:val="000E5EF1"/>
    <w:rsid w:val="000F0D86"/>
    <w:rsid w:val="000F289B"/>
    <w:rsid w:val="000F5338"/>
    <w:rsid w:val="000F6E76"/>
    <w:rsid w:val="00105261"/>
    <w:rsid w:val="00106461"/>
    <w:rsid w:val="00106C9B"/>
    <w:rsid w:val="00110E78"/>
    <w:rsid w:val="00117DCF"/>
    <w:rsid w:val="00123C4F"/>
    <w:rsid w:val="001247B7"/>
    <w:rsid w:val="001263A2"/>
    <w:rsid w:val="00127D85"/>
    <w:rsid w:val="00132EB0"/>
    <w:rsid w:val="001360A1"/>
    <w:rsid w:val="00140FA2"/>
    <w:rsid w:val="001418F9"/>
    <w:rsid w:val="00145646"/>
    <w:rsid w:val="0014621B"/>
    <w:rsid w:val="001510BF"/>
    <w:rsid w:val="00155FC4"/>
    <w:rsid w:val="00165222"/>
    <w:rsid w:val="0016546A"/>
    <w:rsid w:val="00167569"/>
    <w:rsid w:val="00171714"/>
    <w:rsid w:val="00171BD1"/>
    <w:rsid w:val="00182B27"/>
    <w:rsid w:val="00185F66"/>
    <w:rsid w:val="00186DB2"/>
    <w:rsid w:val="00191039"/>
    <w:rsid w:val="00191692"/>
    <w:rsid w:val="00191932"/>
    <w:rsid w:val="00193A09"/>
    <w:rsid w:val="00195002"/>
    <w:rsid w:val="001A00CD"/>
    <w:rsid w:val="001A3C18"/>
    <w:rsid w:val="001A5254"/>
    <w:rsid w:val="001A55DB"/>
    <w:rsid w:val="001A748E"/>
    <w:rsid w:val="001B1CAF"/>
    <w:rsid w:val="001B3F48"/>
    <w:rsid w:val="001B419C"/>
    <w:rsid w:val="001B5957"/>
    <w:rsid w:val="001B5B22"/>
    <w:rsid w:val="001C6D31"/>
    <w:rsid w:val="001C74FC"/>
    <w:rsid w:val="001D0E3A"/>
    <w:rsid w:val="001D1E15"/>
    <w:rsid w:val="001D3836"/>
    <w:rsid w:val="001D57D8"/>
    <w:rsid w:val="001D628D"/>
    <w:rsid w:val="001D65D8"/>
    <w:rsid w:val="001D690D"/>
    <w:rsid w:val="001D7C5E"/>
    <w:rsid w:val="001E0658"/>
    <w:rsid w:val="001E2A84"/>
    <w:rsid w:val="001E2C6B"/>
    <w:rsid w:val="001E5E29"/>
    <w:rsid w:val="001E6416"/>
    <w:rsid w:val="001E67BD"/>
    <w:rsid w:val="001E6FDB"/>
    <w:rsid w:val="001E771A"/>
    <w:rsid w:val="001F0882"/>
    <w:rsid w:val="001F1DF3"/>
    <w:rsid w:val="001F3B23"/>
    <w:rsid w:val="001F3B67"/>
    <w:rsid w:val="001F41F6"/>
    <w:rsid w:val="001F4590"/>
    <w:rsid w:val="002026B1"/>
    <w:rsid w:val="00204540"/>
    <w:rsid w:val="002047C2"/>
    <w:rsid w:val="002049FD"/>
    <w:rsid w:val="00207655"/>
    <w:rsid w:val="00213D93"/>
    <w:rsid w:val="00214E35"/>
    <w:rsid w:val="00217288"/>
    <w:rsid w:val="0022221B"/>
    <w:rsid w:val="0022341E"/>
    <w:rsid w:val="00223B89"/>
    <w:rsid w:val="0022507D"/>
    <w:rsid w:val="002260CB"/>
    <w:rsid w:val="002269E5"/>
    <w:rsid w:val="00227564"/>
    <w:rsid w:val="00232B6C"/>
    <w:rsid w:val="00233E8C"/>
    <w:rsid w:val="00234BD7"/>
    <w:rsid w:val="002418A8"/>
    <w:rsid w:val="00241EBC"/>
    <w:rsid w:val="0024462B"/>
    <w:rsid w:val="00250EA4"/>
    <w:rsid w:val="00254F9D"/>
    <w:rsid w:val="00256EAB"/>
    <w:rsid w:val="0025723D"/>
    <w:rsid w:val="002631C5"/>
    <w:rsid w:val="00263FF9"/>
    <w:rsid w:val="002674A8"/>
    <w:rsid w:val="0027009B"/>
    <w:rsid w:val="002702A2"/>
    <w:rsid w:val="002704F7"/>
    <w:rsid w:val="00270B48"/>
    <w:rsid w:val="002710F6"/>
    <w:rsid w:val="002769C2"/>
    <w:rsid w:val="00276E0B"/>
    <w:rsid w:val="0027785E"/>
    <w:rsid w:val="002779B7"/>
    <w:rsid w:val="00280C73"/>
    <w:rsid w:val="00281001"/>
    <w:rsid w:val="0028100B"/>
    <w:rsid w:val="00281B85"/>
    <w:rsid w:val="00284502"/>
    <w:rsid w:val="00284892"/>
    <w:rsid w:val="00285592"/>
    <w:rsid w:val="00285859"/>
    <w:rsid w:val="002917E2"/>
    <w:rsid w:val="0029290E"/>
    <w:rsid w:val="00292F94"/>
    <w:rsid w:val="0029505D"/>
    <w:rsid w:val="00295D03"/>
    <w:rsid w:val="00295EE4"/>
    <w:rsid w:val="00297FF3"/>
    <w:rsid w:val="002A01C3"/>
    <w:rsid w:val="002A03D1"/>
    <w:rsid w:val="002A1C05"/>
    <w:rsid w:val="002A395A"/>
    <w:rsid w:val="002A5A9C"/>
    <w:rsid w:val="002B0DB9"/>
    <w:rsid w:val="002B1FBB"/>
    <w:rsid w:val="002B45F1"/>
    <w:rsid w:val="002B55DB"/>
    <w:rsid w:val="002B6521"/>
    <w:rsid w:val="002B6D61"/>
    <w:rsid w:val="002C141B"/>
    <w:rsid w:val="002C4B6C"/>
    <w:rsid w:val="002D325F"/>
    <w:rsid w:val="002D5AE9"/>
    <w:rsid w:val="002D6E3F"/>
    <w:rsid w:val="002E1426"/>
    <w:rsid w:val="002E1D6C"/>
    <w:rsid w:val="002E24A8"/>
    <w:rsid w:val="002E28F6"/>
    <w:rsid w:val="002F3F98"/>
    <w:rsid w:val="002F6A5E"/>
    <w:rsid w:val="003025B1"/>
    <w:rsid w:val="00302B6F"/>
    <w:rsid w:val="00302BAE"/>
    <w:rsid w:val="0030634E"/>
    <w:rsid w:val="0031235F"/>
    <w:rsid w:val="003123DC"/>
    <w:rsid w:val="00313C4D"/>
    <w:rsid w:val="00320759"/>
    <w:rsid w:val="00322098"/>
    <w:rsid w:val="003247D6"/>
    <w:rsid w:val="00326870"/>
    <w:rsid w:val="00331434"/>
    <w:rsid w:val="0034118C"/>
    <w:rsid w:val="00341404"/>
    <w:rsid w:val="00341CA2"/>
    <w:rsid w:val="003434A8"/>
    <w:rsid w:val="00344DED"/>
    <w:rsid w:val="00344FFA"/>
    <w:rsid w:val="003577F6"/>
    <w:rsid w:val="003607EE"/>
    <w:rsid w:val="003620C8"/>
    <w:rsid w:val="003633FC"/>
    <w:rsid w:val="0036762D"/>
    <w:rsid w:val="00367810"/>
    <w:rsid w:val="00370388"/>
    <w:rsid w:val="00373E12"/>
    <w:rsid w:val="00375F31"/>
    <w:rsid w:val="00376062"/>
    <w:rsid w:val="00376596"/>
    <w:rsid w:val="00376A1F"/>
    <w:rsid w:val="003777F8"/>
    <w:rsid w:val="003801A2"/>
    <w:rsid w:val="003834DA"/>
    <w:rsid w:val="00383DA4"/>
    <w:rsid w:val="00386A8E"/>
    <w:rsid w:val="00394729"/>
    <w:rsid w:val="003A20D5"/>
    <w:rsid w:val="003A3E49"/>
    <w:rsid w:val="003B1DF2"/>
    <w:rsid w:val="003B301D"/>
    <w:rsid w:val="003B3D6C"/>
    <w:rsid w:val="003B75F0"/>
    <w:rsid w:val="003C17E5"/>
    <w:rsid w:val="003C2F6B"/>
    <w:rsid w:val="003C442A"/>
    <w:rsid w:val="003C6C23"/>
    <w:rsid w:val="003C7663"/>
    <w:rsid w:val="003C7A1B"/>
    <w:rsid w:val="003D28A4"/>
    <w:rsid w:val="003D525E"/>
    <w:rsid w:val="003D6E0D"/>
    <w:rsid w:val="003D6E4F"/>
    <w:rsid w:val="003D7319"/>
    <w:rsid w:val="003D7404"/>
    <w:rsid w:val="003D78FA"/>
    <w:rsid w:val="003E3D6F"/>
    <w:rsid w:val="003E4732"/>
    <w:rsid w:val="003E49DC"/>
    <w:rsid w:val="003F1B39"/>
    <w:rsid w:val="003F1D4A"/>
    <w:rsid w:val="003F57C6"/>
    <w:rsid w:val="003F659E"/>
    <w:rsid w:val="003F688E"/>
    <w:rsid w:val="003F7F2B"/>
    <w:rsid w:val="004019AD"/>
    <w:rsid w:val="00401D33"/>
    <w:rsid w:val="00402D9E"/>
    <w:rsid w:val="0040443A"/>
    <w:rsid w:val="00410BCF"/>
    <w:rsid w:val="00411B59"/>
    <w:rsid w:val="00421295"/>
    <w:rsid w:val="004219F4"/>
    <w:rsid w:val="00421B96"/>
    <w:rsid w:val="0042377F"/>
    <w:rsid w:val="0042679F"/>
    <w:rsid w:val="0043306C"/>
    <w:rsid w:val="004338A4"/>
    <w:rsid w:val="00443956"/>
    <w:rsid w:val="00443BC1"/>
    <w:rsid w:val="004465DA"/>
    <w:rsid w:val="0044682A"/>
    <w:rsid w:val="004519CB"/>
    <w:rsid w:val="00451EB0"/>
    <w:rsid w:val="00452831"/>
    <w:rsid w:val="00461017"/>
    <w:rsid w:val="0046161F"/>
    <w:rsid w:val="00465E1C"/>
    <w:rsid w:val="00467B9E"/>
    <w:rsid w:val="00470D08"/>
    <w:rsid w:val="00471428"/>
    <w:rsid w:val="00473E0E"/>
    <w:rsid w:val="00474E06"/>
    <w:rsid w:val="00480059"/>
    <w:rsid w:val="0048469A"/>
    <w:rsid w:val="00486055"/>
    <w:rsid w:val="00491472"/>
    <w:rsid w:val="004921FD"/>
    <w:rsid w:val="00496301"/>
    <w:rsid w:val="004A2C84"/>
    <w:rsid w:val="004A68C9"/>
    <w:rsid w:val="004A7F77"/>
    <w:rsid w:val="004B5654"/>
    <w:rsid w:val="004B727B"/>
    <w:rsid w:val="004C0294"/>
    <w:rsid w:val="004C352D"/>
    <w:rsid w:val="004C6C2D"/>
    <w:rsid w:val="004D1759"/>
    <w:rsid w:val="004D1DF2"/>
    <w:rsid w:val="004D27AF"/>
    <w:rsid w:val="004D6F54"/>
    <w:rsid w:val="004E2355"/>
    <w:rsid w:val="004E3FBE"/>
    <w:rsid w:val="004E493D"/>
    <w:rsid w:val="004E6D72"/>
    <w:rsid w:val="005014ED"/>
    <w:rsid w:val="005027C0"/>
    <w:rsid w:val="00505550"/>
    <w:rsid w:val="00505C0E"/>
    <w:rsid w:val="0051152D"/>
    <w:rsid w:val="00512BA2"/>
    <w:rsid w:val="00516A6B"/>
    <w:rsid w:val="00522450"/>
    <w:rsid w:val="00526943"/>
    <w:rsid w:val="0053281E"/>
    <w:rsid w:val="00535D55"/>
    <w:rsid w:val="0053675E"/>
    <w:rsid w:val="00541DCD"/>
    <w:rsid w:val="00543E2A"/>
    <w:rsid w:val="005466A8"/>
    <w:rsid w:val="00547E98"/>
    <w:rsid w:val="00547F72"/>
    <w:rsid w:val="00550DD9"/>
    <w:rsid w:val="00552C38"/>
    <w:rsid w:val="0055748B"/>
    <w:rsid w:val="00572422"/>
    <w:rsid w:val="005736B9"/>
    <w:rsid w:val="0057392F"/>
    <w:rsid w:val="00576553"/>
    <w:rsid w:val="00576C73"/>
    <w:rsid w:val="00581C98"/>
    <w:rsid w:val="00582641"/>
    <w:rsid w:val="00582D55"/>
    <w:rsid w:val="005831C6"/>
    <w:rsid w:val="00583334"/>
    <w:rsid w:val="00590156"/>
    <w:rsid w:val="005957A3"/>
    <w:rsid w:val="00596889"/>
    <w:rsid w:val="005A1CAC"/>
    <w:rsid w:val="005A6AF4"/>
    <w:rsid w:val="005A6D88"/>
    <w:rsid w:val="005B14CA"/>
    <w:rsid w:val="005C02AC"/>
    <w:rsid w:val="005C1838"/>
    <w:rsid w:val="005C27F1"/>
    <w:rsid w:val="005C5B87"/>
    <w:rsid w:val="005D07B8"/>
    <w:rsid w:val="005D227F"/>
    <w:rsid w:val="005D5426"/>
    <w:rsid w:val="005D5EB0"/>
    <w:rsid w:val="005E26CA"/>
    <w:rsid w:val="005E51AE"/>
    <w:rsid w:val="005E58F2"/>
    <w:rsid w:val="005E64F9"/>
    <w:rsid w:val="005E7638"/>
    <w:rsid w:val="005F061D"/>
    <w:rsid w:val="005F1A3E"/>
    <w:rsid w:val="005F1DD9"/>
    <w:rsid w:val="005F2519"/>
    <w:rsid w:val="005F494C"/>
    <w:rsid w:val="005F6533"/>
    <w:rsid w:val="00601A98"/>
    <w:rsid w:val="00604559"/>
    <w:rsid w:val="00604CDD"/>
    <w:rsid w:val="00604F82"/>
    <w:rsid w:val="00605357"/>
    <w:rsid w:val="0061650C"/>
    <w:rsid w:val="00620BC5"/>
    <w:rsid w:val="0062270E"/>
    <w:rsid w:val="006230FF"/>
    <w:rsid w:val="006237FE"/>
    <w:rsid w:val="00630350"/>
    <w:rsid w:val="00631A77"/>
    <w:rsid w:val="00632ED1"/>
    <w:rsid w:val="006334B5"/>
    <w:rsid w:val="00634B08"/>
    <w:rsid w:val="006354B9"/>
    <w:rsid w:val="00637C2F"/>
    <w:rsid w:val="006410EA"/>
    <w:rsid w:val="00642F19"/>
    <w:rsid w:val="0064780E"/>
    <w:rsid w:val="00650A3B"/>
    <w:rsid w:val="0065129A"/>
    <w:rsid w:val="00651681"/>
    <w:rsid w:val="0065190B"/>
    <w:rsid w:val="00653042"/>
    <w:rsid w:val="0065321C"/>
    <w:rsid w:val="00653AA3"/>
    <w:rsid w:val="0065532C"/>
    <w:rsid w:val="00657771"/>
    <w:rsid w:val="00657C99"/>
    <w:rsid w:val="00663EA4"/>
    <w:rsid w:val="00666441"/>
    <w:rsid w:val="00667FC5"/>
    <w:rsid w:val="00671D7B"/>
    <w:rsid w:val="0067254D"/>
    <w:rsid w:val="006757A3"/>
    <w:rsid w:val="006760F5"/>
    <w:rsid w:val="00681840"/>
    <w:rsid w:val="00681BEC"/>
    <w:rsid w:val="006820AC"/>
    <w:rsid w:val="00685D96"/>
    <w:rsid w:val="00692D62"/>
    <w:rsid w:val="00693C85"/>
    <w:rsid w:val="00694A51"/>
    <w:rsid w:val="00696451"/>
    <w:rsid w:val="00697A5F"/>
    <w:rsid w:val="006A2BEF"/>
    <w:rsid w:val="006A4FCE"/>
    <w:rsid w:val="006A6991"/>
    <w:rsid w:val="006B44B4"/>
    <w:rsid w:val="006C25D0"/>
    <w:rsid w:val="006C468A"/>
    <w:rsid w:val="006C6D21"/>
    <w:rsid w:val="006D0219"/>
    <w:rsid w:val="006D122E"/>
    <w:rsid w:val="006D1D1A"/>
    <w:rsid w:val="006D326C"/>
    <w:rsid w:val="006D349B"/>
    <w:rsid w:val="006E32FD"/>
    <w:rsid w:val="006E49D5"/>
    <w:rsid w:val="006E514E"/>
    <w:rsid w:val="006E71C3"/>
    <w:rsid w:val="006E7792"/>
    <w:rsid w:val="006F35D4"/>
    <w:rsid w:val="006F57CD"/>
    <w:rsid w:val="006F67E8"/>
    <w:rsid w:val="00700EF2"/>
    <w:rsid w:val="00703352"/>
    <w:rsid w:val="0070573C"/>
    <w:rsid w:val="007141F1"/>
    <w:rsid w:val="00716489"/>
    <w:rsid w:val="007172C0"/>
    <w:rsid w:val="00717AD9"/>
    <w:rsid w:val="007208AB"/>
    <w:rsid w:val="00727563"/>
    <w:rsid w:val="00727706"/>
    <w:rsid w:val="00733732"/>
    <w:rsid w:val="0073422D"/>
    <w:rsid w:val="00735045"/>
    <w:rsid w:val="0073789F"/>
    <w:rsid w:val="007403D0"/>
    <w:rsid w:val="00742223"/>
    <w:rsid w:val="00743426"/>
    <w:rsid w:val="0074712E"/>
    <w:rsid w:val="007550B6"/>
    <w:rsid w:val="00757DEA"/>
    <w:rsid w:val="0076017B"/>
    <w:rsid w:val="00760782"/>
    <w:rsid w:val="007612FA"/>
    <w:rsid w:val="007638E3"/>
    <w:rsid w:val="00766DB9"/>
    <w:rsid w:val="00770928"/>
    <w:rsid w:val="007709B8"/>
    <w:rsid w:val="0077177F"/>
    <w:rsid w:val="00773285"/>
    <w:rsid w:val="00774A05"/>
    <w:rsid w:val="00777BD2"/>
    <w:rsid w:val="0078296D"/>
    <w:rsid w:val="00784FEA"/>
    <w:rsid w:val="00794EA4"/>
    <w:rsid w:val="007965BB"/>
    <w:rsid w:val="00797B51"/>
    <w:rsid w:val="007A1F1B"/>
    <w:rsid w:val="007A2D81"/>
    <w:rsid w:val="007A2FC9"/>
    <w:rsid w:val="007A53E1"/>
    <w:rsid w:val="007A5773"/>
    <w:rsid w:val="007B169D"/>
    <w:rsid w:val="007B3856"/>
    <w:rsid w:val="007B5292"/>
    <w:rsid w:val="007C00EE"/>
    <w:rsid w:val="007C13B9"/>
    <w:rsid w:val="007C20E5"/>
    <w:rsid w:val="007C3622"/>
    <w:rsid w:val="007C7B4B"/>
    <w:rsid w:val="007E2DE3"/>
    <w:rsid w:val="007E513D"/>
    <w:rsid w:val="007E518B"/>
    <w:rsid w:val="007F64AD"/>
    <w:rsid w:val="00801D05"/>
    <w:rsid w:val="00803999"/>
    <w:rsid w:val="00803B47"/>
    <w:rsid w:val="00805AD5"/>
    <w:rsid w:val="00806380"/>
    <w:rsid w:val="00807797"/>
    <w:rsid w:val="00810851"/>
    <w:rsid w:val="00812121"/>
    <w:rsid w:val="0081255A"/>
    <w:rsid w:val="008129B4"/>
    <w:rsid w:val="00813A80"/>
    <w:rsid w:val="00813C55"/>
    <w:rsid w:val="008143DA"/>
    <w:rsid w:val="008147F3"/>
    <w:rsid w:val="0081549D"/>
    <w:rsid w:val="00825A03"/>
    <w:rsid w:val="00825B23"/>
    <w:rsid w:val="00826455"/>
    <w:rsid w:val="008277F7"/>
    <w:rsid w:val="008324CF"/>
    <w:rsid w:val="008367D0"/>
    <w:rsid w:val="00840AB1"/>
    <w:rsid w:val="00845A59"/>
    <w:rsid w:val="00851AAE"/>
    <w:rsid w:val="00851B08"/>
    <w:rsid w:val="008542AB"/>
    <w:rsid w:val="00854B5E"/>
    <w:rsid w:val="008575F1"/>
    <w:rsid w:val="008577C8"/>
    <w:rsid w:val="00857E61"/>
    <w:rsid w:val="0086216B"/>
    <w:rsid w:val="00863D31"/>
    <w:rsid w:val="008663CB"/>
    <w:rsid w:val="008717FF"/>
    <w:rsid w:val="00871EBE"/>
    <w:rsid w:val="00883D98"/>
    <w:rsid w:val="008853A2"/>
    <w:rsid w:val="00887720"/>
    <w:rsid w:val="0088783E"/>
    <w:rsid w:val="00890163"/>
    <w:rsid w:val="0089098F"/>
    <w:rsid w:val="0089135A"/>
    <w:rsid w:val="00891CEF"/>
    <w:rsid w:val="008929F2"/>
    <w:rsid w:val="00897634"/>
    <w:rsid w:val="008A26E7"/>
    <w:rsid w:val="008A34EC"/>
    <w:rsid w:val="008A426D"/>
    <w:rsid w:val="008A5E75"/>
    <w:rsid w:val="008A6809"/>
    <w:rsid w:val="008B2A65"/>
    <w:rsid w:val="008B5605"/>
    <w:rsid w:val="008B5FF1"/>
    <w:rsid w:val="008B79E7"/>
    <w:rsid w:val="008C1809"/>
    <w:rsid w:val="008C1A0A"/>
    <w:rsid w:val="008C2110"/>
    <w:rsid w:val="008C243F"/>
    <w:rsid w:val="008C3B5A"/>
    <w:rsid w:val="008D2657"/>
    <w:rsid w:val="008E09DE"/>
    <w:rsid w:val="008E2365"/>
    <w:rsid w:val="008E316A"/>
    <w:rsid w:val="008E48CE"/>
    <w:rsid w:val="008E638C"/>
    <w:rsid w:val="008E68B9"/>
    <w:rsid w:val="008F0739"/>
    <w:rsid w:val="008F4042"/>
    <w:rsid w:val="008F6F31"/>
    <w:rsid w:val="00904215"/>
    <w:rsid w:val="00906108"/>
    <w:rsid w:val="009073C4"/>
    <w:rsid w:val="00915079"/>
    <w:rsid w:val="00915842"/>
    <w:rsid w:val="009173B9"/>
    <w:rsid w:val="0092304D"/>
    <w:rsid w:val="00923861"/>
    <w:rsid w:val="00924120"/>
    <w:rsid w:val="009319BB"/>
    <w:rsid w:val="00932D95"/>
    <w:rsid w:val="00936412"/>
    <w:rsid w:val="00940762"/>
    <w:rsid w:val="00942446"/>
    <w:rsid w:val="0094263F"/>
    <w:rsid w:val="00946A3F"/>
    <w:rsid w:val="009512D7"/>
    <w:rsid w:val="00951B3E"/>
    <w:rsid w:val="00954B61"/>
    <w:rsid w:val="00954FF9"/>
    <w:rsid w:val="00956BAA"/>
    <w:rsid w:val="0096091B"/>
    <w:rsid w:val="00963C65"/>
    <w:rsid w:val="009641A8"/>
    <w:rsid w:val="009652C1"/>
    <w:rsid w:val="009707BB"/>
    <w:rsid w:val="00970E73"/>
    <w:rsid w:val="00971A4E"/>
    <w:rsid w:val="009728C5"/>
    <w:rsid w:val="00973C51"/>
    <w:rsid w:val="009753C1"/>
    <w:rsid w:val="00976B4D"/>
    <w:rsid w:val="00977A8A"/>
    <w:rsid w:val="00980121"/>
    <w:rsid w:val="00981833"/>
    <w:rsid w:val="00985592"/>
    <w:rsid w:val="009866D9"/>
    <w:rsid w:val="0099096C"/>
    <w:rsid w:val="00996B78"/>
    <w:rsid w:val="009A072C"/>
    <w:rsid w:val="009A1263"/>
    <w:rsid w:val="009A251B"/>
    <w:rsid w:val="009A2768"/>
    <w:rsid w:val="009A6EC7"/>
    <w:rsid w:val="009A74AD"/>
    <w:rsid w:val="009B171E"/>
    <w:rsid w:val="009B2545"/>
    <w:rsid w:val="009B35CA"/>
    <w:rsid w:val="009B5FF5"/>
    <w:rsid w:val="009B75E8"/>
    <w:rsid w:val="009C0EB5"/>
    <w:rsid w:val="009C128F"/>
    <w:rsid w:val="009C257D"/>
    <w:rsid w:val="009C375C"/>
    <w:rsid w:val="009C5F3C"/>
    <w:rsid w:val="009C6660"/>
    <w:rsid w:val="009D23B9"/>
    <w:rsid w:val="009D2FA2"/>
    <w:rsid w:val="009D3631"/>
    <w:rsid w:val="009D5381"/>
    <w:rsid w:val="009D6331"/>
    <w:rsid w:val="009E4839"/>
    <w:rsid w:val="009F0373"/>
    <w:rsid w:val="009F4CA0"/>
    <w:rsid w:val="00A01D90"/>
    <w:rsid w:val="00A02B38"/>
    <w:rsid w:val="00A063A4"/>
    <w:rsid w:val="00A06EF4"/>
    <w:rsid w:val="00A10B8A"/>
    <w:rsid w:val="00A135F6"/>
    <w:rsid w:val="00A145DF"/>
    <w:rsid w:val="00A1586E"/>
    <w:rsid w:val="00A16BA5"/>
    <w:rsid w:val="00A16F24"/>
    <w:rsid w:val="00A17B95"/>
    <w:rsid w:val="00A222AA"/>
    <w:rsid w:val="00A274F0"/>
    <w:rsid w:val="00A27BCC"/>
    <w:rsid w:val="00A30C52"/>
    <w:rsid w:val="00A327E9"/>
    <w:rsid w:val="00A34B74"/>
    <w:rsid w:val="00A36672"/>
    <w:rsid w:val="00A3768D"/>
    <w:rsid w:val="00A40AA8"/>
    <w:rsid w:val="00A46213"/>
    <w:rsid w:val="00A47BD8"/>
    <w:rsid w:val="00A5621A"/>
    <w:rsid w:val="00A574C9"/>
    <w:rsid w:val="00A625C9"/>
    <w:rsid w:val="00A646FA"/>
    <w:rsid w:val="00A64F30"/>
    <w:rsid w:val="00A65C59"/>
    <w:rsid w:val="00A672E1"/>
    <w:rsid w:val="00A71806"/>
    <w:rsid w:val="00A7403A"/>
    <w:rsid w:val="00A771AE"/>
    <w:rsid w:val="00A772C0"/>
    <w:rsid w:val="00A774FB"/>
    <w:rsid w:val="00A80C37"/>
    <w:rsid w:val="00A831D1"/>
    <w:rsid w:val="00A85561"/>
    <w:rsid w:val="00A8719D"/>
    <w:rsid w:val="00A90C6B"/>
    <w:rsid w:val="00A912EC"/>
    <w:rsid w:val="00A91E1C"/>
    <w:rsid w:val="00A93466"/>
    <w:rsid w:val="00AB43AB"/>
    <w:rsid w:val="00AB547A"/>
    <w:rsid w:val="00AB5745"/>
    <w:rsid w:val="00AB5D8B"/>
    <w:rsid w:val="00AB7512"/>
    <w:rsid w:val="00AC3D1E"/>
    <w:rsid w:val="00AC4672"/>
    <w:rsid w:val="00AD1068"/>
    <w:rsid w:val="00AD1DE5"/>
    <w:rsid w:val="00AD458E"/>
    <w:rsid w:val="00AE0F09"/>
    <w:rsid w:val="00AE575E"/>
    <w:rsid w:val="00AE5C58"/>
    <w:rsid w:val="00AE7961"/>
    <w:rsid w:val="00AF0914"/>
    <w:rsid w:val="00AF0BF0"/>
    <w:rsid w:val="00AF1DB9"/>
    <w:rsid w:val="00AF2CA7"/>
    <w:rsid w:val="00AF316B"/>
    <w:rsid w:val="00AF3AE1"/>
    <w:rsid w:val="00AF556B"/>
    <w:rsid w:val="00AF7165"/>
    <w:rsid w:val="00B02B90"/>
    <w:rsid w:val="00B038C6"/>
    <w:rsid w:val="00B0602A"/>
    <w:rsid w:val="00B065E9"/>
    <w:rsid w:val="00B102B9"/>
    <w:rsid w:val="00B104D5"/>
    <w:rsid w:val="00B13279"/>
    <w:rsid w:val="00B14BB8"/>
    <w:rsid w:val="00B209C6"/>
    <w:rsid w:val="00B21739"/>
    <w:rsid w:val="00B244DC"/>
    <w:rsid w:val="00B24CF6"/>
    <w:rsid w:val="00B25B2E"/>
    <w:rsid w:val="00B338FB"/>
    <w:rsid w:val="00B33992"/>
    <w:rsid w:val="00B36BEF"/>
    <w:rsid w:val="00B400C6"/>
    <w:rsid w:val="00B401AA"/>
    <w:rsid w:val="00B40A6C"/>
    <w:rsid w:val="00B41474"/>
    <w:rsid w:val="00B47C69"/>
    <w:rsid w:val="00B51A76"/>
    <w:rsid w:val="00B648FE"/>
    <w:rsid w:val="00B75505"/>
    <w:rsid w:val="00B834B9"/>
    <w:rsid w:val="00B84622"/>
    <w:rsid w:val="00B90E26"/>
    <w:rsid w:val="00B923C7"/>
    <w:rsid w:val="00B95009"/>
    <w:rsid w:val="00B963BB"/>
    <w:rsid w:val="00BA1277"/>
    <w:rsid w:val="00BA3588"/>
    <w:rsid w:val="00BA4A05"/>
    <w:rsid w:val="00BA71A8"/>
    <w:rsid w:val="00BA7A32"/>
    <w:rsid w:val="00BB010D"/>
    <w:rsid w:val="00BB0CB2"/>
    <w:rsid w:val="00BB3374"/>
    <w:rsid w:val="00BB713F"/>
    <w:rsid w:val="00BC1B79"/>
    <w:rsid w:val="00BC3BCE"/>
    <w:rsid w:val="00BC3EB1"/>
    <w:rsid w:val="00BC4A9A"/>
    <w:rsid w:val="00BC5E73"/>
    <w:rsid w:val="00BD00E8"/>
    <w:rsid w:val="00BD389C"/>
    <w:rsid w:val="00BD4CE5"/>
    <w:rsid w:val="00BE0EBC"/>
    <w:rsid w:val="00BE1022"/>
    <w:rsid w:val="00BE1B52"/>
    <w:rsid w:val="00BE721B"/>
    <w:rsid w:val="00BE787A"/>
    <w:rsid w:val="00BF116A"/>
    <w:rsid w:val="00BF47D1"/>
    <w:rsid w:val="00BF5485"/>
    <w:rsid w:val="00BF7469"/>
    <w:rsid w:val="00BF7605"/>
    <w:rsid w:val="00C00BD4"/>
    <w:rsid w:val="00C01D1B"/>
    <w:rsid w:val="00C03267"/>
    <w:rsid w:val="00C104B8"/>
    <w:rsid w:val="00C12D02"/>
    <w:rsid w:val="00C14302"/>
    <w:rsid w:val="00C157A8"/>
    <w:rsid w:val="00C1618B"/>
    <w:rsid w:val="00C16935"/>
    <w:rsid w:val="00C17ED0"/>
    <w:rsid w:val="00C27F40"/>
    <w:rsid w:val="00C3029B"/>
    <w:rsid w:val="00C372E9"/>
    <w:rsid w:val="00C4012B"/>
    <w:rsid w:val="00C41B1F"/>
    <w:rsid w:val="00C4755C"/>
    <w:rsid w:val="00C535F6"/>
    <w:rsid w:val="00C55328"/>
    <w:rsid w:val="00C57772"/>
    <w:rsid w:val="00C65149"/>
    <w:rsid w:val="00C654EF"/>
    <w:rsid w:val="00C703CB"/>
    <w:rsid w:val="00C706DB"/>
    <w:rsid w:val="00C7551C"/>
    <w:rsid w:val="00C75F75"/>
    <w:rsid w:val="00C775F2"/>
    <w:rsid w:val="00C77741"/>
    <w:rsid w:val="00C964F3"/>
    <w:rsid w:val="00C96D82"/>
    <w:rsid w:val="00CA0018"/>
    <w:rsid w:val="00CA085D"/>
    <w:rsid w:val="00CA16D5"/>
    <w:rsid w:val="00CA18DF"/>
    <w:rsid w:val="00CA295B"/>
    <w:rsid w:val="00CB29DA"/>
    <w:rsid w:val="00CB43DF"/>
    <w:rsid w:val="00CB5156"/>
    <w:rsid w:val="00CB767A"/>
    <w:rsid w:val="00CC25EC"/>
    <w:rsid w:val="00CC647B"/>
    <w:rsid w:val="00CD1725"/>
    <w:rsid w:val="00CD2D52"/>
    <w:rsid w:val="00CD59A5"/>
    <w:rsid w:val="00CD62AC"/>
    <w:rsid w:val="00CD7555"/>
    <w:rsid w:val="00CE07A3"/>
    <w:rsid w:val="00CE097C"/>
    <w:rsid w:val="00CE2F93"/>
    <w:rsid w:val="00CE3486"/>
    <w:rsid w:val="00CE797D"/>
    <w:rsid w:val="00CF0F5E"/>
    <w:rsid w:val="00CF1A38"/>
    <w:rsid w:val="00CF4031"/>
    <w:rsid w:val="00CF7A2D"/>
    <w:rsid w:val="00D01A30"/>
    <w:rsid w:val="00D01D8E"/>
    <w:rsid w:val="00D05AEA"/>
    <w:rsid w:val="00D0611D"/>
    <w:rsid w:val="00D06B36"/>
    <w:rsid w:val="00D11672"/>
    <w:rsid w:val="00D13993"/>
    <w:rsid w:val="00D14128"/>
    <w:rsid w:val="00D1433F"/>
    <w:rsid w:val="00D166A5"/>
    <w:rsid w:val="00D258E2"/>
    <w:rsid w:val="00D27FDE"/>
    <w:rsid w:val="00D3031C"/>
    <w:rsid w:val="00D358AF"/>
    <w:rsid w:val="00D36096"/>
    <w:rsid w:val="00D37F4F"/>
    <w:rsid w:val="00D4154B"/>
    <w:rsid w:val="00D51BC6"/>
    <w:rsid w:val="00D52503"/>
    <w:rsid w:val="00D54857"/>
    <w:rsid w:val="00D5550B"/>
    <w:rsid w:val="00D565AC"/>
    <w:rsid w:val="00D61F21"/>
    <w:rsid w:val="00D620FA"/>
    <w:rsid w:val="00D629F6"/>
    <w:rsid w:val="00D62D9C"/>
    <w:rsid w:val="00D640FA"/>
    <w:rsid w:val="00D71630"/>
    <w:rsid w:val="00D75BCA"/>
    <w:rsid w:val="00D772FD"/>
    <w:rsid w:val="00D87213"/>
    <w:rsid w:val="00D875E7"/>
    <w:rsid w:val="00D87E8A"/>
    <w:rsid w:val="00D92821"/>
    <w:rsid w:val="00D9413D"/>
    <w:rsid w:val="00DA1B80"/>
    <w:rsid w:val="00DA1FDE"/>
    <w:rsid w:val="00DB44B9"/>
    <w:rsid w:val="00DB53B8"/>
    <w:rsid w:val="00DC1E9A"/>
    <w:rsid w:val="00DC2B8C"/>
    <w:rsid w:val="00DC65FF"/>
    <w:rsid w:val="00DC75A8"/>
    <w:rsid w:val="00DC7B89"/>
    <w:rsid w:val="00DD190B"/>
    <w:rsid w:val="00DD3AC0"/>
    <w:rsid w:val="00DD4307"/>
    <w:rsid w:val="00DD4DB0"/>
    <w:rsid w:val="00DD4E9C"/>
    <w:rsid w:val="00DD5BC0"/>
    <w:rsid w:val="00DE12A2"/>
    <w:rsid w:val="00DE5D6D"/>
    <w:rsid w:val="00DF6008"/>
    <w:rsid w:val="00E01C0D"/>
    <w:rsid w:val="00E01E4C"/>
    <w:rsid w:val="00E01F50"/>
    <w:rsid w:val="00E03015"/>
    <w:rsid w:val="00E06897"/>
    <w:rsid w:val="00E07521"/>
    <w:rsid w:val="00E1077F"/>
    <w:rsid w:val="00E11B8A"/>
    <w:rsid w:val="00E13AD3"/>
    <w:rsid w:val="00E15415"/>
    <w:rsid w:val="00E2142E"/>
    <w:rsid w:val="00E21746"/>
    <w:rsid w:val="00E21B93"/>
    <w:rsid w:val="00E229ED"/>
    <w:rsid w:val="00E24350"/>
    <w:rsid w:val="00E255EE"/>
    <w:rsid w:val="00E25A42"/>
    <w:rsid w:val="00E25B1A"/>
    <w:rsid w:val="00E25E79"/>
    <w:rsid w:val="00E2777F"/>
    <w:rsid w:val="00E27EB6"/>
    <w:rsid w:val="00E3624B"/>
    <w:rsid w:val="00E37FAE"/>
    <w:rsid w:val="00E401CA"/>
    <w:rsid w:val="00E431CA"/>
    <w:rsid w:val="00E44A96"/>
    <w:rsid w:val="00E44F9E"/>
    <w:rsid w:val="00E46112"/>
    <w:rsid w:val="00E471FF"/>
    <w:rsid w:val="00E47394"/>
    <w:rsid w:val="00E541C6"/>
    <w:rsid w:val="00E57352"/>
    <w:rsid w:val="00E623AD"/>
    <w:rsid w:val="00E62491"/>
    <w:rsid w:val="00E62A51"/>
    <w:rsid w:val="00E62B31"/>
    <w:rsid w:val="00E63A67"/>
    <w:rsid w:val="00E64164"/>
    <w:rsid w:val="00E74D04"/>
    <w:rsid w:val="00E8149E"/>
    <w:rsid w:val="00E82D88"/>
    <w:rsid w:val="00E82F8F"/>
    <w:rsid w:val="00E93093"/>
    <w:rsid w:val="00E93244"/>
    <w:rsid w:val="00E9356E"/>
    <w:rsid w:val="00E97287"/>
    <w:rsid w:val="00E97AAF"/>
    <w:rsid w:val="00EA1229"/>
    <w:rsid w:val="00EA55CC"/>
    <w:rsid w:val="00EA72BC"/>
    <w:rsid w:val="00EA74F1"/>
    <w:rsid w:val="00EB1662"/>
    <w:rsid w:val="00EB2DF5"/>
    <w:rsid w:val="00EB6D4B"/>
    <w:rsid w:val="00EC156B"/>
    <w:rsid w:val="00EC1DCD"/>
    <w:rsid w:val="00EC2977"/>
    <w:rsid w:val="00EC29D6"/>
    <w:rsid w:val="00EC3EF8"/>
    <w:rsid w:val="00ED3548"/>
    <w:rsid w:val="00ED5969"/>
    <w:rsid w:val="00ED7A2A"/>
    <w:rsid w:val="00EE0B5A"/>
    <w:rsid w:val="00EE6285"/>
    <w:rsid w:val="00EF249C"/>
    <w:rsid w:val="00EF3674"/>
    <w:rsid w:val="00EF5621"/>
    <w:rsid w:val="00EF7E22"/>
    <w:rsid w:val="00F00DC5"/>
    <w:rsid w:val="00F02ADE"/>
    <w:rsid w:val="00F02CD8"/>
    <w:rsid w:val="00F07096"/>
    <w:rsid w:val="00F133B9"/>
    <w:rsid w:val="00F1396D"/>
    <w:rsid w:val="00F15534"/>
    <w:rsid w:val="00F17322"/>
    <w:rsid w:val="00F17989"/>
    <w:rsid w:val="00F2008C"/>
    <w:rsid w:val="00F20699"/>
    <w:rsid w:val="00F21FC3"/>
    <w:rsid w:val="00F2534A"/>
    <w:rsid w:val="00F259C4"/>
    <w:rsid w:val="00F32531"/>
    <w:rsid w:val="00F33AD0"/>
    <w:rsid w:val="00F33C02"/>
    <w:rsid w:val="00F35495"/>
    <w:rsid w:val="00F41CAF"/>
    <w:rsid w:val="00F47495"/>
    <w:rsid w:val="00F474E9"/>
    <w:rsid w:val="00F47CCD"/>
    <w:rsid w:val="00F50375"/>
    <w:rsid w:val="00F52DFF"/>
    <w:rsid w:val="00F5509C"/>
    <w:rsid w:val="00F550DF"/>
    <w:rsid w:val="00F55F45"/>
    <w:rsid w:val="00F5689C"/>
    <w:rsid w:val="00F63961"/>
    <w:rsid w:val="00F641C2"/>
    <w:rsid w:val="00F64665"/>
    <w:rsid w:val="00F64B11"/>
    <w:rsid w:val="00F71560"/>
    <w:rsid w:val="00F8181D"/>
    <w:rsid w:val="00F82EF9"/>
    <w:rsid w:val="00F83FAE"/>
    <w:rsid w:val="00F93F05"/>
    <w:rsid w:val="00FA1796"/>
    <w:rsid w:val="00FA2758"/>
    <w:rsid w:val="00FA4CBB"/>
    <w:rsid w:val="00FA50BB"/>
    <w:rsid w:val="00FB31D5"/>
    <w:rsid w:val="00FB5A4A"/>
    <w:rsid w:val="00FC1F49"/>
    <w:rsid w:val="00FC2C31"/>
    <w:rsid w:val="00FC4B2F"/>
    <w:rsid w:val="00FC5F9B"/>
    <w:rsid w:val="00FC753D"/>
    <w:rsid w:val="00FC7EC6"/>
    <w:rsid w:val="00FD1FB1"/>
    <w:rsid w:val="00FD235C"/>
    <w:rsid w:val="00FD4162"/>
    <w:rsid w:val="00FD44FB"/>
    <w:rsid w:val="00FD77FD"/>
    <w:rsid w:val="00FD7AC9"/>
    <w:rsid w:val="00FE1345"/>
    <w:rsid w:val="00FE2CB6"/>
    <w:rsid w:val="00FE3963"/>
    <w:rsid w:val="00FE3983"/>
    <w:rsid w:val="00FE3ED1"/>
    <w:rsid w:val="00FE5BB4"/>
    <w:rsid w:val="00FE5C39"/>
    <w:rsid w:val="00FF2039"/>
    <w:rsid w:val="00FF42F9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652EDA1"/>
  <w15:docId w15:val="{E653B425-756B-4891-80CE-D19746E6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FF1"/>
  </w:style>
  <w:style w:type="paragraph" w:styleId="Heading1">
    <w:name w:val="heading 1"/>
    <w:basedOn w:val="Normal"/>
    <w:next w:val="Normal"/>
    <w:link w:val="Heading1Char"/>
    <w:uiPriority w:val="9"/>
    <w:qFormat/>
    <w:rsid w:val="00271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3C4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3C4D"/>
  </w:style>
  <w:style w:type="paragraph" w:styleId="Footer">
    <w:name w:val="footer"/>
    <w:basedOn w:val="Normal"/>
    <w:link w:val="FooterChar"/>
    <w:uiPriority w:val="99"/>
    <w:unhideWhenUsed/>
    <w:rsid w:val="00313C4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3C4D"/>
  </w:style>
  <w:style w:type="paragraph" w:styleId="BalloonText">
    <w:name w:val="Balloon Text"/>
    <w:basedOn w:val="Normal"/>
    <w:link w:val="BalloonTextChar"/>
    <w:uiPriority w:val="99"/>
    <w:semiHidden/>
    <w:unhideWhenUsed/>
    <w:rsid w:val="00313C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C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07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607EE"/>
  </w:style>
  <w:style w:type="character" w:styleId="Hyperlink">
    <w:name w:val="Hyperlink"/>
    <w:basedOn w:val="DefaultParagraphFont"/>
    <w:uiPriority w:val="99"/>
    <w:unhideWhenUsed/>
    <w:rsid w:val="003607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352"/>
    <w:pPr>
      <w:ind w:left="720"/>
      <w:contextualSpacing/>
    </w:pPr>
  </w:style>
  <w:style w:type="table" w:styleId="TableGrid">
    <w:name w:val="Table Grid"/>
    <w:basedOn w:val="TableNormal"/>
    <w:uiPriority w:val="39"/>
    <w:rsid w:val="003268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10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7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3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5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6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8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4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13AA-421D-44DA-9477-312CB404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9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raid</dc:creator>
  <cp:lastModifiedBy>asd vsd</cp:lastModifiedBy>
  <cp:revision>79</cp:revision>
  <cp:lastPrinted>2017-12-01T22:07:00Z</cp:lastPrinted>
  <dcterms:created xsi:type="dcterms:W3CDTF">2017-12-08T07:13:00Z</dcterms:created>
  <dcterms:modified xsi:type="dcterms:W3CDTF">2017-12-08T22:52:00Z</dcterms:modified>
</cp:coreProperties>
</file>