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466"/>
        <w:tblW w:w="146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2130"/>
        <w:gridCol w:w="2055"/>
        <w:gridCol w:w="1935"/>
        <w:gridCol w:w="1935"/>
        <w:gridCol w:w="1830"/>
        <w:gridCol w:w="1605"/>
        <w:gridCol w:w="1140"/>
        <w:tblGridChange w:id="0">
          <w:tblGrid>
            <w:gridCol w:w="2040"/>
            <w:gridCol w:w="2130"/>
            <w:gridCol w:w="2055"/>
            <w:gridCol w:w="1935"/>
            <w:gridCol w:w="1935"/>
            <w:gridCol w:w="1830"/>
            <w:gridCol w:w="1605"/>
            <w:gridCol w:w="1140"/>
          </w:tblGrid>
        </w:tblGridChange>
      </w:tblGrid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be5d5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الرشيد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تقنيات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الحاسوب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المرحلة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صباحي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be5d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الدروس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الاسبوعي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2023-2024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1:00-1:45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12:15-1:00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11:30-12:15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10:45-11:30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10:00–10:45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9:15–10:00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8:30–9:15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والقياسات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تطبيقات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كمبيوتر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فاضل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برمجه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عدنان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والقياسات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السبت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كمبيوتر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فاضل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الكترونيك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برمجه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عدنان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الاتصالات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صابرين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الكترونيك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الاحد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الالكترونيك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والقياسات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معماريه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بروسيسر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صابرين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الاثنين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اتصالات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صابرين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معماريه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بروسيسور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صابرين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معماريه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بروسيسر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صابرين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اتصالات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صابرين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برمجه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عدنان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الثلاثاء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تطبيقات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كمبيوتر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فاضل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انجليزي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رياضيات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ولاء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الاربعاء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LFyfHYxpsrycQdUP5MORE/G1Mw==">CgMxLjA4AHIhMVU5eF9zc2dZaTdKV0RKeWg2aWc4Ml9nTHhXTWtaOGdD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